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B" w:rsidRDefault="00603E74" w:rsidP="00366B5B">
      <w:pPr>
        <w:jc w:val="center"/>
        <w:rPr>
          <w:rFonts w:ascii="Times New Roman" w:hAnsi="Times New Roman" w:cs="Times New Roman"/>
          <w:b/>
          <w:sz w:val="32"/>
          <w:szCs w:val="32"/>
        </w:rPr>
      </w:pPr>
      <w:r>
        <w:rPr>
          <w:rFonts w:ascii="Times New Roman" w:hAnsi="Times New Roman" w:cs="Times New Roman"/>
          <w:b/>
          <w:sz w:val="32"/>
          <w:szCs w:val="32"/>
        </w:rPr>
        <w:t>EL SEGURO DE GASTOS MÉDICOS MAYORES</w:t>
      </w:r>
      <w:r w:rsidR="00366B5B">
        <w:rPr>
          <w:rFonts w:ascii="Times New Roman" w:hAnsi="Times New Roman" w:cs="Times New Roman"/>
          <w:b/>
          <w:sz w:val="32"/>
          <w:szCs w:val="32"/>
        </w:rPr>
        <w:t xml:space="preserve"> </w:t>
      </w:r>
    </w:p>
    <w:p w:rsidR="00E93F71" w:rsidRDefault="00CB53B5" w:rsidP="00CB53B5">
      <w:pPr>
        <w:jc w:val="center"/>
        <w:rPr>
          <w:rFonts w:ascii="Times New Roman" w:hAnsi="Times New Roman" w:cs="Times New Roman"/>
          <w:b/>
          <w:sz w:val="24"/>
          <w:szCs w:val="24"/>
        </w:rPr>
      </w:pPr>
      <w:r>
        <w:rPr>
          <w:rFonts w:ascii="Times New Roman" w:hAnsi="Times New Roman" w:cs="Times New Roman"/>
          <w:b/>
          <w:sz w:val="24"/>
          <w:szCs w:val="24"/>
        </w:rPr>
        <w:t xml:space="preserve">Ponencia para el FORO </w:t>
      </w:r>
    </w:p>
    <w:p w:rsidR="00CB53B5" w:rsidRDefault="00CB53B5" w:rsidP="00CB53B5">
      <w:pPr>
        <w:jc w:val="center"/>
        <w:rPr>
          <w:rFonts w:ascii="Times New Roman" w:hAnsi="Times New Roman" w:cs="Times New Roman"/>
          <w:b/>
          <w:sz w:val="24"/>
          <w:szCs w:val="24"/>
        </w:rPr>
      </w:pPr>
      <w:r>
        <w:rPr>
          <w:rFonts w:ascii="Times New Roman" w:hAnsi="Times New Roman" w:cs="Times New Roman"/>
          <w:b/>
          <w:sz w:val="24"/>
          <w:szCs w:val="24"/>
        </w:rPr>
        <w:t>“</w:t>
      </w:r>
      <w:r w:rsidR="001D497B">
        <w:rPr>
          <w:rFonts w:ascii="Times New Roman" w:hAnsi="Times New Roman" w:cs="Times New Roman"/>
          <w:b/>
          <w:sz w:val="24"/>
          <w:szCs w:val="24"/>
        </w:rPr>
        <w:t>SALUD E ISSSTESON</w:t>
      </w:r>
      <w:r>
        <w:rPr>
          <w:rFonts w:ascii="Times New Roman" w:hAnsi="Times New Roman" w:cs="Times New Roman"/>
          <w:b/>
          <w:sz w:val="24"/>
          <w:szCs w:val="24"/>
        </w:rPr>
        <w:t>”</w:t>
      </w:r>
    </w:p>
    <w:p w:rsidR="00CB53B5" w:rsidRDefault="001D497B" w:rsidP="00CB53B5">
      <w:pPr>
        <w:jc w:val="center"/>
        <w:rPr>
          <w:rFonts w:ascii="Times New Roman" w:hAnsi="Times New Roman" w:cs="Times New Roman"/>
          <w:b/>
          <w:sz w:val="24"/>
          <w:szCs w:val="24"/>
        </w:rPr>
      </w:pPr>
      <w:r>
        <w:rPr>
          <w:rFonts w:ascii="Times New Roman" w:hAnsi="Times New Roman" w:cs="Times New Roman"/>
          <w:b/>
          <w:sz w:val="24"/>
          <w:szCs w:val="24"/>
        </w:rPr>
        <w:t>7</w:t>
      </w:r>
      <w:r w:rsidR="00CB53B5">
        <w:rPr>
          <w:rFonts w:ascii="Times New Roman" w:hAnsi="Times New Roman" w:cs="Times New Roman"/>
          <w:b/>
          <w:sz w:val="24"/>
          <w:szCs w:val="24"/>
        </w:rPr>
        <w:t xml:space="preserve"> de </w:t>
      </w:r>
      <w:r>
        <w:rPr>
          <w:rFonts w:ascii="Times New Roman" w:hAnsi="Times New Roman" w:cs="Times New Roman"/>
          <w:b/>
          <w:sz w:val="24"/>
          <w:szCs w:val="24"/>
        </w:rPr>
        <w:t>Noviem</w:t>
      </w:r>
      <w:r w:rsidR="00CB53B5">
        <w:rPr>
          <w:rFonts w:ascii="Times New Roman" w:hAnsi="Times New Roman" w:cs="Times New Roman"/>
          <w:b/>
          <w:sz w:val="24"/>
          <w:szCs w:val="24"/>
        </w:rPr>
        <w:t>bre de 2012</w:t>
      </w:r>
    </w:p>
    <w:p w:rsidR="00CB53B5" w:rsidRPr="00184EEA" w:rsidRDefault="00CB53B5" w:rsidP="00CB53B5">
      <w:pPr>
        <w:jc w:val="center"/>
        <w:rPr>
          <w:rFonts w:ascii="Times New Roman" w:hAnsi="Times New Roman" w:cs="Times New Roman"/>
          <w:b/>
          <w:sz w:val="24"/>
          <w:szCs w:val="24"/>
        </w:rPr>
      </w:pPr>
      <w:r>
        <w:rPr>
          <w:rFonts w:ascii="Times New Roman" w:hAnsi="Times New Roman" w:cs="Times New Roman"/>
          <w:b/>
          <w:sz w:val="24"/>
          <w:szCs w:val="24"/>
        </w:rPr>
        <w:t>Presentada</w:t>
      </w:r>
      <w:r w:rsidRPr="00184EEA">
        <w:rPr>
          <w:rFonts w:ascii="Times New Roman" w:hAnsi="Times New Roman" w:cs="Times New Roman"/>
          <w:b/>
          <w:sz w:val="24"/>
          <w:szCs w:val="24"/>
        </w:rPr>
        <w:t xml:space="preserve"> por:</w:t>
      </w:r>
    </w:p>
    <w:p w:rsidR="00E1205D" w:rsidRPr="00184EEA" w:rsidRDefault="001D497B" w:rsidP="00366B5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Ana Mónica </w:t>
      </w:r>
      <w:r w:rsidR="004117F2">
        <w:rPr>
          <w:rFonts w:ascii="Times New Roman" w:hAnsi="Times New Roman" w:cs="Times New Roman"/>
          <w:b/>
          <w:sz w:val="24"/>
          <w:szCs w:val="24"/>
        </w:rPr>
        <w:t xml:space="preserve">Preciado </w:t>
      </w:r>
      <w:r>
        <w:rPr>
          <w:rFonts w:ascii="Times New Roman" w:hAnsi="Times New Roman" w:cs="Times New Roman"/>
          <w:b/>
          <w:sz w:val="24"/>
          <w:szCs w:val="24"/>
        </w:rPr>
        <w:t xml:space="preserve">Sánchez </w:t>
      </w:r>
    </w:p>
    <w:p w:rsidR="00366B5B" w:rsidRDefault="00366B5B" w:rsidP="00366B5B">
      <w:pPr>
        <w:spacing w:after="0"/>
        <w:jc w:val="center"/>
        <w:rPr>
          <w:rFonts w:ascii="Times New Roman" w:hAnsi="Times New Roman" w:cs="Times New Roman"/>
          <w:b/>
          <w:sz w:val="24"/>
          <w:szCs w:val="24"/>
        </w:rPr>
      </w:pPr>
      <w:r w:rsidRPr="00184EEA">
        <w:rPr>
          <w:rFonts w:ascii="Times New Roman" w:hAnsi="Times New Roman" w:cs="Times New Roman"/>
          <w:b/>
          <w:sz w:val="24"/>
          <w:szCs w:val="24"/>
        </w:rPr>
        <w:t xml:space="preserve">Sergio </w:t>
      </w:r>
      <w:proofErr w:type="spellStart"/>
      <w:r w:rsidRPr="00184EEA">
        <w:rPr>
          <w:rFonts w:ascii="Times New Roman" w:hAnsi="Times New Roman" w:cs="Times New Roman"/>
          <w:b/>
          <w:sz w:val="24"/>
          <w:szCs w:val="24"/>
        </w:rPr>
        <w:t>Barraza</w:t>
      </w:r>
      <w:proofErr w:type="spellEnd"/>
      <w:r w:rsidRPr="00184EEA">
        <w:rPr>
          <w:rFonts w:ascii="Times New Roman" w:hAnsi="Times New Roman" w:cs="Times New Roman"/>
          <w:b/>
          <w:sz w:val="24"/>
          <w:szCs w:val="24"/>
        </w:rPr>
        <w:t xml:space="preserve"> Félix</w:t>
      </w:r>
    </w:p>
    <w:p w:rsidR="00366B5B" w:rsidRPr="00184EEA" w:rsidRDefault="00366B5B" w:rsidP="00366B5B">
      <w:pPr>
        <w:spacing w:after="0"/>
        <w:jc w:val="center"/>
        <w:rPr>
          <w:rFonts w:ascii="Times New Roman" w:hAnsi="Times New Roman" w:cs="Times New Roman"/>
          <w:b/>
          <w:sz w:val="24"/>
          <w:szCs w:val="24"/>
        </w:rPr>
      </w:pPr>
    </w:p>
    <w:p w:rsidR="00CB53B5" w:rsidRDefault="00CB53B5" w:rsidP="00CB53B5">
      <w:pPr>
        <w:pStyle w:val="Prrafodelist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LA </w:t>
      </w:r>
      <w:r w:rsidR="00130DF6">
        <w:rPr>
          <w:rFonts w:ascii="Times New Roman" w:hAnsi="Times New Roman" w:cs="Times New Roman"/>
          <w:b/>
          <w:sz w:val="24"/>
          <w:szCs w:val="24"/>
        </w:rPr>
        <w:t>APORTACIÓN DE LA UNIVERSIDAD AL PAGO DEL SGMM</w:t>
      </w:r>
    </w:p>
    <w:p w:rsidR="00CB53B5" w:rsidRPr="00CB53B5" w:rsidRDefault="00CB53B5" w:rsidP="00CB53B5">
      <w:pPr>
        <w:spacing w:after="0"/>
        <w:rPr>
          <w:rFonts w:ascii="Times New Roman" w:hAnsi="Times New Roman" w:cs="Times New Roman"/>
          <w:b/>
          <w:sz w:val="24"/>
          <w:szCs w:val="24"/>
        </w:rPr>
      </w:pPr>
    </w:p>
    <w:p w:rsidR="00746573" w:rsidRDefault="00DF645D" w:rsidP="00366B5B">
      <w:pPr>
        <w:jc w:val="both"/>
        <w:rPr>
          <w:rFonts w:ascii="Times New Roman" w:hAnsi="Times New Roman" w:cs="Times New Roman"/>
          <w:sz w:val="24"/>
          <w:szCs w:val="24"/>
        </w:rPr>
      </w:pPr>
      <w:r>
        <w:rPr>
          <w:rFonts w:ascii="Times New Roman" w:hAnsi="Times New Roman" w:cs="Times New Roman"/>
          <w:sz w:val="24"/>
          <w:szCs w:val="24"/>
        </w:rPr>
        <w:t xml:space="preserve">La prestación del Seguro de Gastos Médicos Mayores (SGMM) se pactó en la revisión salarial del 2002. En la cláusula sexta del Convenio de Revisión Salarial de ese año se acordó una aportación de la Universidad por $3 millones para la adquisición de la póliza de dicho seguro. </w:t>
      </w:r>
      <w:r w:rsidR="006F36E0">
        <w:rPr>
          <w:rFonts w:ascii="Times New Roman" w:hAnsi="Times New Roman" w:cs="Times New Roman"/>
          <w:sz w:val="24"/>
          <w:szCs w:val="24"/>
        </w:rPr>
        <w:t>Esta aportación se mantuvo hasta la revisión del 2006 en la que se pacta un incremento por la cantidad de $250 mil. Posteriormente en las revisiones del 2008 al 2012 se pactaron incrementos de $1 millón, $500 mil, $500 mil, $1.45 millones y $190 mil respectivamente. Ver gráfica 1.</w:t>
      </w:r>
    </w:p>
    <w:p w:rsidR="006F36E0" w:rsidRDefault="006F36E0" w:rsidP="006F36E0">
      <w:pPr>
        <w:spacing w:after="0"/>
        <w:jc w:val="center"/>
        <w:rPr>
          <w:rFonts w:ascii="Times New Roman" w:hAnsi="Times New Roman" w:cs="Times New Roman"/>
          <w:sz w:val="24"/>
          <w:szCs w:val="24"/>
        </w:rPr>
      </w:pPr>
      <w:r>
        <w:rPr>
          <w:rFonts w:ascii="Times New Roman" w:hAnsi="Times New Roman" w:cs="Times New Roman"/>
          <w:sz w:val="24"/>
          <w:szCs w:val="24"/>
        </w:rPr>
        <w:t>Gráfica 1</w:t>
      </w:r>
    </w:p>
    <w:p w:rsidR="006F36E0" w:rsidRDefault="006F36E0" w:rsidP="006F36E0">
      <w:pPr>
        <w:spacing w:after="0"/>
        <w:jc w:val="center"/>
        <w:rPr>
          <w:rFonts w:ascii="Times New Roman" w:hAnsi="Times New Roman" w:cs="Times New Roman"/>
          <w:sz w:val="24"/>
          <w:szCs w:val="24"/>
        </w:rPr>
      </w:pPr>
      <w:r>
        <w:rPr>
          <w:rFonts w:ascii="Times New Roman" w:hAnsi="Times New Roman" w:cs="Times New Roman"/>
          <w:sz w:val="24"/>
          <w:szCs w:val="24"/>
        </w:rPr>
        <w:t>Aportaciones de la Universidad al pago de la póliza del SGMM</w:t>
      </w:r>
      <w:r w:rsidR="00B61602">
        <w:rPr>
          <w:rFonts w:ascii="Times New Roman" w:hAnsi="Times New Roman" w:cs="Times New Roman"/>
          <w:sz w:val="24"/>
          <w:szCs w:val="24"/>
        </w:rPr>
        <w:t xml:space="preserve"> del 2002 al 2012</w:t>
      </w:r>
    </w:p>
    <w:p w:rsidR="0094267A" w:rsidRDefault="00D57528" w:rsidP="006F36E0">
      <w:pPr>
        <w:spacing w:after="0"/>
        <w:jc w:val="center"/>
        <w:rPr>
          <w:rFonts w:ascii="Times New Roman" w:hAnsi="Times New Roman" w:cs="Times New Roman"/>
          <w:sz w:val="24"/>
          <w:szCs w:val="24"/>
        </w:rPr>
      </w:pPr>
      <w:r w:rsidRPr="00D57528">
        <w:rPr>
          <w:rFonts w:ascii="Times New Roman" w:hAnsi="Times New Roman" w:cs="Times New Roman"/>
          <w:noProof/>
          <w:sz w:val="24"/>
          <w:szCs w:val="24"/>
          <w:lang w:val="es-MX" w:eastAsia="es-MX"/>
        </w:rPr>
        <w:drawing>
          <wp:inline distT="0" distB="0" distL="0" distR="0">
            <wp:extent cx="4572000" cy="2743200"/>
            <wp:effectExtent l="19050" t="0" r="1905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45DF" w:rsidRDefault="00C145DF" w:rsidP="00CD4518">
      <w:pPr>
        <w:spacing w:after="0"/>
        <w:jc w:val="center"/>
        <w:rPr>
          <w:rFonts w:ascii="Times New Roman" w:hAnsi="Times New Roman" w:cs="Times New Roman"/>
          <w:sz w:val="24"/>
          <w:szCs w:val="24"/>
        </w:rPr>
      </w:pPr>
    </w:p>
    <w:p w:rsidR="00335CD2" w:rsidRDefault="00B61602" w:rsidP="00CD4518">
      <w:pPr>
        <w:spacing w:after="0"/>
        <w:jc w:val="both"/>
        <w:rPr>
          <w:rFonts w:ascii="Times New Roman" w:hAnsi="Times New Roman" w:cs="Times New Roman"/>
          <w:sz w:val="24"/>
          <w:szCs w:val="24"/>
        </w:rPr>
      </w:pPr>
      <w:r>
        <w:rPr>
          <w:rFonts w:ascii="Times New Roman" w:hAnsi="Times New Roman" w:cs="Times New Roman"/>
          <w:sz w:val="24"/>
          <w:szCs w:val="24"/>
        </w:rPr>
        <w:t>Actualmente la Universidad aporta $6.89 millones para esta prestación</w:t>
      </w:r>
      <w:r w:rsidR="00F10028">
        <w:rPr>
          <w:rFonts w:ascii="Times New Roman" w:hAnsi="Times New Roman" w:cs="Times New Roman"/>
          <w:sz w:val="24"/>
          <w:szCs w:val="24"/>
        </w:rPr>
        <w:t xml:space="preserve">. Sin embargo hay que aclarar que </w:t>
      </w:r>
      <w:r w:rsidR="00411990">
        <w:rPr>
          <w:rFonts w:ascii="Times New Roman" w:hAnsi="Times New Roman" w:cs="Times New Roman"/>
          <w:sz w:val="24"/>
          <w:szCs w:val="24"/>
        </w:rPr>
        <w:t xml:space="preserve">este monto está dividido en una parte permanente de $3 millones, y otra </w:t>
      </w:r>
      <w:r w:rsidR="00335CD2">
        <w:rPr>
          <w:rFonts w:ascii="Times New Roman" w:hAnsi="Times New Roman" w:cs="Times New Roman"/>
          <w:sz w:val="24"/>
          <w:szCs w:val="24"/>
        </w:rPr>
        <w:t xml:space="preserve">que se pacta en cada revisión, que en el caso del 2012 </w:t>
      </w:r>
      <w:r w:rsidR="0005766F">
        <w:rPr>
          <w:rFonts w:ascii="Times New Roman" w:hAnsi="Times New Roman" w:cs="Times New Roman"/>
          <w:sz w:val="24"/>
          <w:szCs w:val="24"/>
        </w:rPr>
        <w:t>fue</w:t>
      </w:r>
      <w:r w:rsidR="00335CD2">
        <w:rPr>
          <w:rFonts w:ascii="Times New Roman" w:hAnsi="Times New Roman" w:cs="Times New Roman"/>
          <w:sz w:val="24"/>
          <w:szCs w:val="24"/>
        </w:rPr>
        <w:t xml:space="preserve"> de $3.89 millones.</w:t>
      </w:r>
    </w:p>
    <w:p w:rsidR="00D01080" w:rsidRDefault="00335CD2" w:rsidP="00B61602">
      <w:pPr>
        <w:jc w:val="both"/>
        <w:rPr>
          <w:rFonts w:ascii="Times New Roman" w:hAnsi="Times New Roman" w:cs="Times New Roman"/>
          <w:sz w:val="24"/>
          <w:szCs w:val="24"/>
        </w:rPr>
      </w:pPr>
      <w:r>
        <w:rPr>
          <w:rFonts w:ascii="Times New Roman" w:hAnsi="Times New Roman" w:cs="Times New Roman"/>
          <w:sz w:val="24"/>
          <w:szCs w:val="24"/>
        </w:rPr>
        <w:t xml:space="preserve">Adicionalmente el STAUS, en algunas revisiones ha destinado recursos de la bolsa de cláusulas de monto fijo. En el 2002 el monto destinado fue de $1 millón, en el 2006 de $287,932.00, en el 2008 de $488,232.20, en el 2011 de $600 mil, y en el 2012 de $950 </w:t>
      </w:r>
      <w:r>
        <w:rPr>
          <w:rFonts w:ascii="Times New Roman" w:hAnsi="Times New Roman" w:cs="Times New Roman"/>
          <w:sz w:val="24"/>
          <w:szCs w:val="24"/>
        </w:rPr>
        <w:lastRenderedPageBreak/>
        <w:t xml:space="preserve">mil, para hacer un total de $3’326,164.20. Esta cantidad se suma a la aportación de la </w:t>
      </w:r>
      <w:r w:rsidR="00D01080">
        <w:rPr>
          <w:rFonts w:ascii="Times New Roman" w:hAnsi="Times New Roman" w:cs="Times New Roman"/>
          <w:sz w:val="24"/>
          <w:szCs w:val="24"/>
        </w:rPr>
        <w:t>Universidad. La gráfica 2 muestra la evolución de la aportación total al pago de la póliza del SGMM del 2002 al 2012.</w:t>
      </w:r>
    </w:p>
    <w:p w:rsidR="00147EF2" w:rsidRDefault="00147EF2" w:rsidP="00147EF2">
      <w:pPr>
        <w:spacing w:after="0"/>
        <w:jc w:val="center"/>
        <w:rPr>
          <w:rFonts w:ascii="Times New Roman" w:hAnsi="Times New Roman" w:cs="Times New Roman"/>
          <w:sz w:val="24"/>
          <w:szCs w:val="24"/>
        </w:rPr>
      </w:pPr>
      <w:r>
        <w:rPr>
          <w:rFonts w:ascii="Times New Roman" w:hAnsi="Times New Roman" w:cs="Times New Roman"/>
          <w:sz w:val="24"/>
          <w:szCs w:val="24"/>
        </w:rPr>
        <w:t>Gráfica 2</w:t>
      </w:r>
    </w:p>
    <w:p w:rsidR="00147EF2" w:rsidRDefault="00147EF2" w:rsidP="00147EF2">
      <w:pPr>
        <w:spacing w:after="0"/>
        <w:jc w:val="center"/>
        <w:rPr>
          <w:rFonts w:ascii="Times New Roman" w:hAnsi="Times New Roman" w:cs="Times New Roman"/>
          <w:sz w:val="24"/>
          <w:szCs w:val="24"/>
        </w:rPr>
      </w:pPr>
      <w:r>
        <w:rPr>
          <w:rFonts w:ascii="Times New Roman" w:hAnsi="Times New Roman" w:cs="Times New Roman"/>
          <w:sz w:val="24"/>
          <w:szCs w:val="24"/>
        </w:rPr>
        <w:t>Evolución de la aportación total al pago de la póliza del SGMM</w:t>
      </w:r>
      <w:r w:rsidR="00554D81">
        <w:rPr>
          <w:rFonts w:ascii="Times New Roman" w:hAnsi="Times New Roman" w:cs="Times New Roman"/>
          <w:sz w:val="24"/>
          <w:szCs w:val="24"/>
        </w:rPr>
        <w:t xml:space="preserve"> del 2002 al 2012</w:t>
      </w:r>
    </w:p>
    <w:p w:rsidR="00B61602" w:rsidRDefault="00D01080" w:rsidP="00147EF2">
      <w:pPr>
        <w:spacing w:after="0"/>
        <w:jc w:val="center"/>
        <w:rPr>
          <w:rFonts w:ascii="Times New Roman" w:hAnsi="Times New Roman" w:cs="Times New Roman"/>
          <w:sz w:val="24"/>
          <w:szCs w:val="24"/>
        </w:rPr>
      </w:pPr>
      <w:r w:rsidRPr="00D01080">
        <w:rPr>
          <w:rFonts w:ascii="Times New Roman" w:hAnsi="Times New Roman" w:cs="Times New Roman"/>
          <w:noProof/>
          <w:sz w:val="24"/>
          <w:szCs w:val="24"/>
          <w:lang w:val="es-MX" w:eastAsia="es-MX"/>
        </w:rPr>
        <w:drawing>
          <wp:inline distT="0" distB="0" distL="0" distR="0">
            <wp:extent cx="5143500" cy="2743200"/>
            <wp:effectExtent l="19050" t="0" r="19050"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45DF" w:rsidRDefault="00C145DF" w:rsidP="008D6A14">
      <w:pPr>
        <w:spacing w:after="0"/>
        <w:rPr>
          <w:rFonts w:ascii="Times New Roman" w:hAnsi="Times New Roman" w:cs="Times New Roman"/>
          <w:sz w:val="24"/>
          <w:szCs w:val="24"/>
        </w:rPr>
      </w:pPr>
    </w:p>
    <w:p w:rsidR="00C7316B" w:rsidRDefault="003D172C" w:rsidP="008D6A14">
      <w:pPr>
        <w:pStyle w:val="Prrafodelist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LA </w:t>
      </w:r>
      <w:r w:rsidR="00950647">
        <w:rPr>
          <w:rFonts w:ascii="Times New Roman" w:hAnsi="Times New Roman" w:cs="Times New Roman"/>
          <w:b/>
          <w:sz w:val="24"/>
          <w:szCs w:val="24"/>
        </w:rPr>
        <w:t>SINIESTRALIDAD Y EL PRECIO DE LA PÓLIZA</w:t>
      </w:r>
    </w:p>
    <w:p w:rsidR="0015326D" w:rsidRDefault="008D6A14" w:rsidP="00C7316B">
      <w:pPr>
        <w:jc w:val="both"/>
        <w:rPr>
          <w:rFonts w:ascii="Times New Roman" w:eastAsia="Times New Roman" w:hAnsi="Times New Roman" w:cs="Times New Roman"/>
          <w:bCs/>
          <w:color w:val="000000"/>
          <w:sz w:val="24"/>
          <w:szCs w:val="24"/>
          <w:lang w:eastAsia="es-ES"/>
        </w:rPr>
      </w:pPr>
      <w:r>
        <w:rPr>
          <w:rFonts w:ascii="Times New Roman" w:hAnsi="Times New Roman" w:cs="Times New Roman"/>
          <w:sz w:val="24"/>
          <w:szCs w:val="24"/>
        </w:rPr>
        <w:t xml:space="preserve">Una situación preocupante es el alto incremento de la siniestralidad de la póliza. En el 2005 el monto total pagado por Axa por todos los siniestros registrados fue de </w:t>
      </w:r>
      <w:r>
        <w:rPr>
          <w:rFonts w:ascii="Times New Roman" w:eastAsia="Times New Roman" w:hAnsi="Times New Roman" w:cs="Times New Roman"/>
          <w:bCs/>
          <w:color w:val="000000"/>
          <w:sz w:val="24"/>
          <w:szCs w:val="24"/>
          <w:lang w:eastAsia="es-ES"/>
        </w:rPr>
        <w:t>$9</w:t>
      </w:r>
      <w:r>
        <w:rPr>
          <w:rFonts w:ascii="Times New Roman" w:hAnsi="Times New Roman" w:cs="Times New Roman"/>
          <w:sz w:val="24"/>
          <w:szCs w:val="24"/>
        </w:rPr>
        <w:t>’</w:t>
      </w:r>
      <w:r w:rsidRPr="008D6A14">
        <w:rPr>
          <w:rFonts w:ascii="Times New Roman" w:eastAsia="Times New Roman" w:hAnsi="Times New Roman" w:cs="Times New Roman"/>
          <w:bCs/>
          <w:color w:val="000000"/>
          <w:sz w:val="24"/>
          <w:szCs w:val="24"/>
          <w:lang w:eastAsia="es-ES"/>
        </w:rPr>
        <w:t>667,583.00</w:t>
      </w:r>
      <w:r>
        <w:rPr>
          <w:rFonts w:ascii="Times New Roman" w:eastAsia="Times New Roman" w:hAnsi="Times New Roman" w:cs="Times New Roman"/>
          <w:bCs/>
          <w:color w:val="000000"/>
          <w:sz w:val="24"/>
          <w:szCs w:val="24"/>
          <w:lang w:eastAsia="es-ES"/>
        </w:rPr>
        <w:t>, mientras que en el 2012 fue de $39</w:t>
      </w:r>
      <w:r>
        <w:rPr>
          <w:rFonts w:ascii="Times New Roman" w:hAnsi="Times New Roman" w:cs="Times New Roman"/>
          <w:sz w:val="24"/>
          <w:szCs w:val="24"/>
        </w:rPr>
        <w:t>’</w:t>
      </w:r>
      <w:r w:rsidRPr="008D6A14">
        <w:rPr>
          <w:rFonts w:ascii="Times New Roman" w:eastAsia="Times New Roman" w:hAnsi="Times New Roman" w:cs="Times New Roman"/>
          <w:bCs/>
          <w:color w:val="000000"/>
          <w:sz w:val="24"/>
          <w:szCs w:val="24"/>
          <w:lang w:eastAsia="es-ES"/>
        </w:rPr>
        <w:t>550,974.88</w:t>
      </w:r>
      <w:r>
        <w:rPr>
          <w:rFonts w:ascii="Times New Roman" w:eastAsia="Times New Roman" w:hAnsi="Times New Roman" w:cs="Times New Roman"/>
          <w:bCs/>
          <w:color w:val="000000"/>
          <w:sz w:val="24"/>
          <w:szCs w:val="24"/>
          <w:lang w:eastAsia="es-ES"/>
        </w:rPr>
        <w:t xml:space="preserve">. En siete años la siniestralidad se </w:t>
      </w:r>
      <w:r w:rsidR="00CD4518">
        <w:rPr>
          <w:rFonts w:ascii="Times New Roman" w:eastAsia="Times New Roman" w:hAnsi="Times New Roman" w:cs="Times New Roman"/>
          <w:bCs/>
          <w:color w:val="000000"/>
          <w:sz w:val="24"/>
          <w:szCs w:val="24"/>
          <w:lang w:eastAsia="es-ES"/>
        </w:rPr>
        <w:t>ha incrementado en 309%, lo que representa un incremento promedio anual del 44%</w:t>
      </w:r>
      <w:r>
        <w:rPr>
          <w:rFonts w:ascii="Times New Roman" w:eastAsia="Times New Roman" w:hAnsi="Times New Roman" w:cs="Times New Roman"/>
          <w:bCs/>
          <w:color w:val="000000"/>
          <w:sz w:val="24"/>
          <w:szCs w:val="24"/>
          <w:lang w:eastAsia="es-ES"/>
        </w:rPr>
        <w:t xml:space="preserve">. </w:t>
      </w:r>
      <w:r>
        <w:rPr>
          <w:rFonts w:ascii="Times New Roman" w:hAnsi="Times New Roman" w:cs="Times New Roman"/>
          <w:sz w:val="24"/>
          <w:szCs w:val="24"/>
        </w:rPr>
        <w:t>Ver gráfica 3.</w:t>
      </w:r>
      <w:r>
        <w:rPr>
          <w:rFonts w:ascii="Times New Roman" w:eastAsia="Times New Roman" w:hAnsi="Times New Roman" w:cs="Times New Roman"/>
          <w:bCs/>
          <w:color w:val="000000"/>
          <w:sz w:val="24"/>
          <w:szCs w:val="24"/>
          <w:lang w:eastAsia="es-ES"/>
        </w:rPr>
        <w:t xml:space="preserve"> </w:t>
      </w:r>
    </w:p>
    <w:p w:rsidR="00DA7BBC" w:rsidRDefault="00DA7BBC" w:rsidP="00DA7BBC">
      <w:pPr>
        <w:spacing w:after="0"/>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Gráfica 3</w:t>
      </w:r>
    </w:p>
    <w:p w:rsidR="00DA7BBC" w:rsidRPr="008D6A14" w:rsidRDefault="00DA7BBC" w:rsidP="00DA7BBC">
      <w:pPr>
        <w:spacing w:after="0"/>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Evolución de la siniestralidad de la póliza del SGMM del 2005 al 2012</w:t>
      </w:r>
    </w:p>
    <w:p w:rsidR="008D6A14" w:rsidRDefault="008D6A14" w:rsidP="008D6A14">
      <w:pPr>
        <w:jc w:val="center"/>
        <w:rPr>
          <w:rFonts w:ascii="Times New Roman" w:hAnsi="Times New Roman" w:cs="Times New Roman"/>
          <w:sz w:val="24"/>
          <w:szCs w:val="24"/>
        </w:rPr>
      </w:pPr>
      <w:r w:rsidRPr="008D6A14">
        <w:rPr>
          <w:rFonts w:ascii="Times New Roman" w:hAnsi="Times New Roman" w:cs="Times New Roman"/>
          <w:noProof/>
          <w:sz w:val="24"/>
          <w:szCs w:val="24"/>
          <w:lang w:val="es-MX" w:eastAsia="es-MX"/>
        </w:rPr>
        <w:drawing>
          <wp:inline distT="0" distB="0" distL="0" distR="0">
            <wp:extent cx="5105400" cy="2886075"/>
            <wp:effectExtent l="19050" t="0" r="190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7478" w:rsidRDefault="00DA7BBC" w:rsidP="00C7316B">
      <w:pPr>
        <w:jc w:val="both"/>
        <w:rPr>
          <w:rFonts w:ascii="Times New Roman" w:hAnsi="Times New Roman" w:cs="Times New Roman"/>
          <w:sz w:val="24"/>
          <w:szCs w:val="24"/>
        </w:rPr>
      </w:pPr>
      <w:r>
        <w:rPr>
          <w:rFonts w:ascii="Times New Roman" w:hAnsi="Times New Roman" w:cs="Times New Roman"/>
          <w:sz w:val="24"/>
          <w:szCs w:val="24"/>
        </w:rPr>
        <w:lastRenderedPageBreak/>
        <w:t>Las razones de e</w:t>
      </w:r>
      <w:r w:rsidR="000E10EF">
        <w:rPr>
          <w:rFonts w:ascii="Times New Roman" w:hAnsi="Times New Roman" w:cs="Times New Roman"/>
          <w:sz w:val="24"/>
          <w:szCs w:val="24"/>
        </w:rPr>
        <w:t xml:space="preserve">ste alto incremento son varias, </w:t>
      </w:r>
      <w:r w:rsidR="00B37BFC">
        <w:rPr>
          <w:rFonts w:ascii="Times New Roman" w:hAnsi="Times New Roman" w:cs="Times New Roman"/>
          <w:sz w:val="24"/>
          <w:szCs w:val="24"/>
        </w:rPr>
        <w:t>siendo</w:t>
      </w:r>
      <w:r w:rsidR="000E10EF">
        <w:rPr>
          <w:rFonts w:ascii="Times New Roman" w:hAnsi="Times New Roman" w:cs="Times New Roman"/>
          <w:sz w:val="24"/>
          <w:szCs w:val="24"/>
        </w:rPr>
        <w:t xml:space="preserve"> la principal la </w:t>
      </w:r>
      <w:r w:rsidR="00B2090B">
        <w:rPr>
          <w:rFonts w:ascii="Times New Roman" w:hAnsi="Times New Roman" w:cs="Times New Roman"/>
          <w:sz w:val="24"/>
          <w:szCs w:val="24"/>
        </w:rPr>
        <w:t>gran</w:t>
      </w:r>
      <w:r w:rsidR="000E10EF">
        <w:rPr>
          <w:rFonts w:ascii="Times New Roman" w:hAnsi="Times New Roman" w:cs="Times New Roman"/>
          <w:sz w:val="24"/>
          <w:szCs w:val="24"/>
        </w:rPr>
        <w:t xml:space="preserve"> incidencia de enfermedades crónico-degenerativas </w:t>
      </w:r>
      <w:r w:rsidR="000D0D1D">
        <w:rPr>
          <w:rFonts w:ascii="Times New Roman" w:hAnsi="Times New Roman" w:cs="Times New Roman"/>
          <w:sz w:val="24"/>
          <w:szCs w:val="24"/>
        </w:rPr>
        <w:t>y diferentes tipos de cáncer entre la planta académica</w:t>
      </w:r>
      <w:r w:rsidR="00B37BFC">
        <w:rPr>
          <w:rFonts w:ascii="Times New Roman" w:hAnsi="Times New Roman" w:cs="Times New Roman"/>
          <w:sz w:val="24"/>
          <w:szCs w:val="24"/>
        </w:rPr>
        <w:t>. Los</w:t>
      </w:r>
      <w:r w:rsidR="000D0D1D">
        <w:rPr>
          <w:rFonts w:ascii="Times New Roman" w:hAnsi="Times New Roman" w:cs="Times New Roman"/>
          <w:sz w:val="24"/>
          <w:szCs w:val="24"/>
        </w:rPr>
        <w:t xml:space="preserve"> tratamientos </w:t>
      </w:r>
      <w:r w:rsidR="00B37BFC">
        <w:rPr>
          <w:rFonts w:ascii="Times New Roman" w:hAnsi="Times New Roman" w:cs="Times New Roman"/>
          <w:sz w:val="24"/>
          <w:szCs w:val="24"/>
        </w:rPr>
        <w:t xml:space="preserve">de dichas enfermedades </w:t>
      </w:r>
      <w:r w:rsidR="000D0D1D">
        <w:rPr>
          <w:rFonts w:ascii="Times New Roman" w:hAnsi="Times New Roman" w:cs="Times New Roman"/>
          <w:sz w:val="24"/>
          <w:szCs w:val="24"/>
        </w:rPr>
        <w:t>son bastante onerosos en el esquema de la medicina privada</w:t>
      </w:r>
      <w:r w:rsidR="004E541C">
        <w:rPr>
          <w:rFonts w:ascii="Times New Roman" w:hAnsi="Times New Roman" w:cs="Times New Roman"/>
          <w:sz w:val="24"/>
          <w:szCs w:val="24"/>
        </w:rPr>
        <w:t xml:space="preserve">. Por ejemplo, en el 2011 el </w:t>
      </w:r>
      <w:r w:rsidR="00CB7478">
        <w:rPr>
          <w:rFonts w:ascii="Times New Roman" w:hAnsi="Times New Roman" w:cs="Times New Roman"/>
          <w:sz w:val="24"/>
          <w:szCs w:val="24"/>
        </w:rPr>
        <w:t xml:space="preserve">tratamiento de </w:t>
      </w:r>
      <w:r w:rsidR="0094205E">
        <w:rPr>
          <w:rFonts w:ascii="Times New Roman" w:hAnsi="Times New Roman" w:cs="Times New Roman"/>
          <w:sz w:val="24"/>
          <w:szCs w:val="24"/>
        </w:rPr>
        <w:t>cierto tipo de</w:t>
      </w:r>
      <w:r w:rsidR="00CB7478">
        <w:rPr>
          <w:rFonts w:ascii="Times New Roman" w:hAnsi="Times New Roman" w:cs="Times New Roman"/>
          <w:sz w:val="24"/>
          <w:szCs w:val="24"/>
        </w:rPr>
        <w:t xml:space="preserve"> cáncer costó alrededor de $2.5 millones.</w:t>
      </w:r>
    </w:p>
    <w:p w:rsidR="00BE76F6" w:rsidRDefault="00BE76F6" w:rsidP="00C7316B">
      <w:pPr>
        <w:jc w:val="both"/>
        <w:rPr>
          <w:rFonts w:ascii="Times New Roman" w:hAnsi="Times New Roman" w:cs="Times New Roman"/>
          <w:sz w:val="24"/>
          <w:szCs w:val="24"/>
        </w:rPr>
      </w:pPr>
      <w:r>
        <w:rPr>
          <w:rFonts w:ascii="Times New Roman" w:hAnsi="Times New Roman" w:cs="Times New Roman"/>
          <w:sz w:val="24"/>
          <w:szCs w:val="24"/>
        </w:rPr>
        <w:t xml:space="preserve">Es importante señalar que no se tiene </w:t>
      </w:r>
      <w:r w:rsidR="00E66A2E">
        <w:rPr>
          <w:rFonts w:ascii="Times New Roman" w:hAnsi="Times New Roman" w:cs="Times New Roman"/>
          <w:sz w:val="24"/>
          <w:szCs w:val="24"/>
        </w:rPr>
        <w:t>un procedimiento establecido para verificar la siniestralidad reportada por la compañía aseguradora</w:t>
      </w:r>
      <w:r w:rsidR="00E40EA3">
        <w:rPr>
          <w:rFonts w:ascii="Times New Roman" w:hAnsi="Times New Roman" w:cs="Times New Roman"/>
          <w:sz w:val="24"/>
          <w:szCs w:val="24"/>
        </w:rPr>
        <w:t xml:space="preserve">, lo cual </w:t>
      </w:r>
      <w:r w:rsidR="00B37BFC">
        <w:rPr>
          <w:rFonts w:ascii="Times New Roman" w:hAnsi="Times New Roman" w:cs="Times New Roman"/>
          <w:sz w:val="24"/>
          <w:szCs w:val="24"/>
        </w:rPr>
        <w:t xml:space="preserve">no </w:t>
      </w:r>
      <w:r w:rsidR="00E40EA3">
        <w:rPr>
          <w:rFonts w:ascii="Times New Roman" w:hAnsi="Times New Roman" w:cs="Times New Roman"/>
          <w:sz w:val="24"/>
          <w:szCs w:val="24"/>
        </w:rPr>
        <w:t xml:space="preserve">nos deja </w:t>
      </w:r>
      <w:r w:rsidR="00B37BFC">
        <w:rPr>
          <w:rFonts w:ascii="Times New Roman" w:hAnsi="Times New Roman" w:cs="Times New Roman"/>
          <w:sz w:val="24"/>
          <w:szCs w:val="24"/>
        </w:rPr>
        <w:t xml:space="preserve">otra </w:t>
      </w:r>
      <w:r w:rsidR="00E40EA3">
        <w:rPr>
          <w:rFonts w:ascii="Times New Roman" w:hAnsi="Times New Roman" w:cs="Times New Roman"/>
          <w:sz w:val="24"/>
          <w:szCs w:val="24"/>
        </w:rPr>
        <w:t>opción que aceptarla.</w:t>
      </w:r>
    </w:p>
    <w:p w:rsidR="008D6A14" w:rsidRPr="005B4B74" w:rsidRDefault="00CB7478" w:rsidP="00C7316B">
      <w:pPr>
        <w:jc w:val="both"/>
        <w:rPr>
          <w:rFonts w:ascii="Times New Roman" w:eastAsia="Times New Roman" w:hAnsi="Times New Roman" w:cs="Times New Roman"/>
          <w:bCs/>
          <w:color w:val="000000"/>
          <w:sz w:val="24"/>
          <w:szCs w:val="24"/>
          <w:lang w:eastAsia="es-ES"/>
        </w:rPr>
      </w:pPr>
      <w:r>
        <w:rPr>
          <w:rFonts w:ascii="Times New Roman" w:hAnsi="Times New Roman" w:cs="Times New Roman"/>
          <w:sz w:val="24"/>
          <w:szCs w:val="24"/>
        </w:rPr>
        <w:t xml:space="preserve">El alto incremento de la siniestralidad ha </w:t>
      </w:r>
      <w:r w:rsidR="00121F24">
        <w:rPr>
          <w:rFonts w:ascii="Times New Roman" w:hAnsi="Times New Roman" w:cs="Times New Roman"/>
          <w:sz w:val="24"/>
          <w:szCs w:val="24"/>
        </w:rPr>
        <w:t xml:space="preserve">llevado a que el precio de las pólizas del SGMM se dispare. </w:t>
      </w:r>
      <w:r w:rsidR="00CE153C">
        <w:rPr>
          <w:rFonts w:ascii="Times New Roman" w:hAnsi="Times New Roman" w:cs="Times New Roman"/>
          <w:sz w:val="24"/>
          <w:szCs w:val="24"/>
        </w:rPr>
        <w:t xml:space="preserve">El </w:t>
      </w:r>
      <w:r w:rsidR="00BC761F">
        <w:rPr>
          <w:rFonts w:ascii="Times New Roman" w:hAnsi="Times New Roman" w:cs="Times New Roman"/>
          <w:sz w:val="24"/>
          <w:szCs w:val="24"/>
        </w:rPr>
        <w:t>costo</w:t>
      </w:r>
      <w:r w:rsidR="00CE153C">
        <w:rPr>
          <w:rFonts w:ascii="Times New Roman" w:hAnsi="Times New Roman" w:cs="Times New Roman"/>
          <w:sz w:val="24"/>
          <w:szCs w:val="24"/>
        </w:rPr>
        <w:t xml:space="preserve"> de las seis pólizas </w:t>
      </w:r>
      <w:r w:rsidR="00E522E2">
        <w:rPr>
          <w:rFonts w:ascii="Times New Roman" w:hAnsi="Times New Roman" w:cs="Times New Roman"/>
          <w:sz w:val="24"/>
          <w:szCs w:val="24"/>
        </w:rPr>
        <w:t xml:space="preserve">(titulares y dependientes de </w:t>
      </w:r>
      <w:r w:rsidR="00B2090B">
        <w:rPr>
          <w:rFonts w:ascii="Times New Roman" w:hAnsi="Times New Roman" w:cs="Times New Roman"/>
          <w:sz w:val="24"/>
          <w:szCs w:val="24"/>
        </w:rPr>
        <w:t>los tres</w:t>
      </w:r>
      <w:r w:rsidR="00E522E2">
        <w:rPr>
          <w:rFonts w:ascii="Times New Roman" w:hAnsi="Times New Roman" w:cs="Times New Roman"/>
          <w:sz w:val="24"/>
          <w:szCs w:val="24"/>
        </w:rPr>
        <w:t xml:space="preserve"> sector</w:t>
      </w:r>
      <w:r w:rsidR="00B2090B">
        <w:rPr>
          <w:rFonts w:ascii="Times New Roman" w:hAnsi="Times New Roman" w:cs="Times New Roman"/>
          <w:sz w:val="24"/>
          <w:szCs w:val="24"/>
        </w:rPr>
        <w:t>es universitarios</w:t>
      </w:r>
      <w:r w:rsidR="00E522E2">
        <w:rPr>
          <w:rFonts w:ascii="Times New Roman" w:hAnsi="Times New Roman" w:cs="Times New Roman"/>
          <w:sz w:val="24"/>
          <w:szCs w:val="24"/>
        </w:rPr>
        <w:t xml:space="preserve">) en el 2005 fue de </w:t>
      </w:r>
      <w:r w:rsidR="000D1733">
        <w:rPr>
          <w:rFonts w:ascii="Times New Roman" w:eastAsia="Times New Roman" w:hAnsi="Times New Roman" w:cs="Times New Roman"/>
          <w:bCs/>
          <w:color w:val="000000"/>
          <w:sz w:val="24"/>
          <w:szCs w:val="24"/>
          <w:lang w:eastAsia="es-ES"/>
        </w:rPr>
        <w:t>$13</w:t>
      </w:r>
      <w:r w:rsidR="000D1733">
        <w:rPr>
          <w:rFonts w:ascii="Times New Roman" w:hAnsi="Times New Roman" w:cs="Times New Roman"/>
          <w:sz w:val="24"/>
          <w:szCs w:val="24"/>
        </w:rPr>
        <w:t>’</w:t>
      </w:r>
      <w:r w:rsidR="000D1733" w:rsidRPr="000D1733">
        <w:rPr>
          <w:rFonts w:ascii="Times New Roman" w:eastAsia="Times New Roman" w:hAnsi="Times New Roman" w:cs="Times New Roman"/>
          <w:bCs/>
          <w:color w:val="000000"/>
          <w:sz w:val="24"/>
          <w:szCs w:val="24"/>
          <w:lang w:eastAsia="es-ES"/>
        </w:rPr>
        <w:t>033,398.00</w:t>
      </w:r>
      <w:r w:rsidR="00E522E2">
        <w:rPr>
          <w:rFonts w:ascii="Times New Roman" w:eastAsia="Times New Roman" w:hAnsi="Times New Roman" w:cs="Times New Roman"/>
          <w:bCs/>
          <w:color w:val="000000"/>
          <w:sz w:val="24"/>
          <w:szCs w:val="24"/>
          <w:lang w:eastAsia="es-ES"/>
        </w:rPr>
        <w:t xml:space="preserve">, mientras que para el 2013 el </w:t>
      </w:r>
      <w:r w:rsidR="00BC761F">
        <w:rPr>
          <w:rFonts w:ascii="Times New Roman" w:eastAsia="Times New Roman" w:hAnsi="Times New Roman" w:cs="Times New Roman"/>
          <w:bCs/>
          <w:color w:val="000000"/>
          <w:sz w:val="24"/>
          <w:szCs w:val="24"/>
          <w:lang w:eastAsia="es-ES"/>
        </w:rPr>
        <w:t>costo</w:t>
      </w:r>
      <w:r w:rsidR="00E522E2">
        <w:rPr>
          <w:rFonts w:ascii="Times New Roman" w:eastAsia="Times New Roman" w:hAnsi="Times New Roman" w:cs="Times New Roman"/>
          <w:bCs/>
          <w:color w:val="000000"/>
          <w:sz w:val="24"/>
          <w:szCs w:val="24"/>
          <w:lang w:eastAsia="es-ES"/>
        </w:rPr>
        <w:t xml:space="preserve"> será</w:t>
      </w:r>
      <w:r w:rsidR="000D1733">
        <w:rPr>
          <w:rFonts w:ascii="Times New Roman" w:eastAsia="Times New Roman" w:hAnsi="Times New Roman" w:cs="Times New Roman"/>
          <w:bCs/>
          <w:color w:val="000000"/>
          <w:sz w:val="24"/>
          <w:szCs w:val="24"/>
          <w:lang w:eastAsia="es-ES"/>
        </w:rPr>
        <w:t xml:space="preserve"> </w:t>
      </w:r>
      <w:r w:rsidR="00E522E2">
        <w:rPr>
          <w:rFonts w:ascii="Times New Roman" w:eastAsia="Times New Roman" w:hAnsi="Times New Roman" w:cs="Times New Roman"/>
          <w:bCs/>
          <w:color w:val="000000"/>
          <w:sz w:val="24"/>
          <w:szCs w:val="24"/>
          <w:lang w:eastAsia="es-ES"/>
        </w:rPr>
        <w:t>de</w:t>
      </w:r>
      <w:r w:rsidR="000D1733">
        <w:rPr>
          <w:rFonts w:ascii="Times New Roman" w:eastAsia="Times New Roman" w:hAnsi="Times New Roman" w:cs="Times New Roman"/>
          <w:bCs/>
          <w:color w:val="000000"/>
          <w:sz w:val="24"/>
          <w:szCs w:val="24"/>
          <w:lang w:eastAsia="es-ES"/>
        </w:rPr>
        <w:t xml:space="preserve"> </w:t>
      </w:r>
      <w:r w:rsidR="000D1733" w:rsidRPr="000D1733">
        <w:rPr>
          <w:rFonts w:ascii="Times New Roman" w:eastAsia="Times New Roman" w:hAnsi="Times New Roman" w:cs="Times New Roman"/>
          <w:bCs/>
          <w:color w:val="000000"/>
          <w:sz w:val="24"/>
          <w:szCs w:val="24"/>
          <w:lang w:eastAsia="es-ES"/>
        </w:rPr>
        <w:t>$56</w:t>
      </w:r>
      <w:r w:rsidR="000D1733">
        <w:rPr>
          <w:rFonts w:ascii="Times New Roman" w:hAnsi="Times New Roman" w:cs="Times New Roman"/>
          <w:sz w:val="24"/>
          <w:szCs w:val="24"/>
        </w:rPr>
        <w:t>’</w:t>
      </w:r>
      <w:r w:rsidR="000D1733" w:rsidRPr="000D1733">
        <w:rPr>
          <w:rFonts w:ascii="Times New Roman" w:eastAsia="Times New Roman" w:hAnsi="Times New Roman" w:cs="Times New Roman"/>
          <w:bCs/>
          <w:color w:val="000000"/>
          <w:sz w:val="24"/>
          <w:szCs w:val="24"/>
          <w:lang w:eastAsia="es-ES"/>
        </w:rPr>
        <w:t>898,047.70</w:t>
      </w:r>
      <w:r w:rsidR="000B0CE9">
        <w:rPr>
          <w:rFonts w:ascii="Times New Roman" w:eastAsia="Times New Roman" w:hAnsi="Times New Roman" w:cs="Times New Roman"/>
          <w:bCs/>
          <w:color w:val="000000"/>
          <w:sz w:val="24"/>
          <w:szCs w:val="24"/>
          <w:lang w:eastAsia="es-ES"/>
        </w:rPr>
        <w:t xml:space="preserve">. En ocho años el precio se ha </w:t>
      </w:r>
      <w:r w:rsidR="00CD4518">
        <w:rPr>
          <w:rFonts w:ascii="Times New Roman" w:eastAsia="Times New Roman" w:hAnsi="Times New Roman" w:cs="Times New Roman"/>
          <w:bCs/>
          <w:color w:val="000000"/>
          <w:sz w:val="24"/>
          <w:szCs w:val="24"/>
          <w:lang w:eastAsia="es-ES"/>
        </w:rPr>
        <w:t>incrementado en un 337%</w:t>
      </w:r>
      <w:r w:rsidR="000B0CE9">
        <w:rPr>
          <w:rFonts w:ascii="Times New Roman" w:eastAsia="Times New Roman" w:hAnsi="Times New Roman" w:cs="Times New Roman"/>
          <w:bCs/>
          <w:color w:val="000000"/>
          <w:sz w:val="24"/>
          <w:szCs w:val="24"/>
          <w:lang w:eastAsia="es-ES"/>
        </w:rPr>
        <w:t xml:space="preserve">, lo que es </w:t>
      </w:r>
      <w:r w:rsidR="00CD4518">
        <w:rPr>
          <w:rFonts w:ascii="Times New Roman" w:eastAsia="Times New Roman" w:hAnsi="Times New Roman" w:cs="Times New Roman"/>
          <w:bCs/>
          <w:color w:val="000000"/>
          <w:sz w:val="24"/>
          <w:szCs w:val="24"/>
          <w:lang w:eastAsia="es-ES"/>
        </w:rPr>
        <w:t>representa un incremento promedio anual del 42%</w:t>
      </w:r>
      <w:r w:rsidR="000B0CE9">
        <w:rPr>
          <w:rFonts w:ascii="Times New Roman" w:eastAsia="Times New Roman" w:hAnsi="Times New Roman" w:cs="Times New Roman"/>
          <w:bCs/>
          <w:color w:val="000000"/>
          <w:sz w:val="24"/>
          <w:szCs w:val="24"/>
          <w:lang w:eastAsia="es-ES"/>
        </w:rPr>
        <w:t>.</w:t>
      </w:r>
      <w:r w:rsidR="001007CC">
        <w:rPr>
          <w:rFonts w:ascii="Times New Roman" w:eastAsia="Times New Roman" w:hAnsi="Times New Roman" w:cs="Times New Roman"/>
          <w:bCs/>
          <w:color w:val="000000"/>
          <w:sz w:val="24"/>
          <w:szCs w:val="24"/>
          <w:lang w:eastAsia="es-ES"/>
        </w:rPr>
        <w:t xml:space="preserve"> La gráfica 4 muestra la evolución del precio de las pólizas del SGMM</w:t>
      </w:r>
      <w:r w:rsidR="000D56FE">
        <w:rPr>
          <w:rFonts w:ascii="Times New Roman" w:eastAsia="Times New Roman" w:hAnsi="Times New Roman" w:cs="Times New Roman"/>
          <w:bCs/>
          <w:color w:val="000000"/>
          <w:sz w:val="24"/>
          <w:szCs w:val="24"/>
          <w:lang w:eastAsia="es-ES"/>
        </w:rPr>
        <w:t xml:space="preserve"> del 2005 al 2013.</w:t>
      </w:r>
    </w:p>
    <w:p w:rsidR="000D0D1D" w:rsidRDefault="00831DBB" w:rsidP="000D0D1D">
      <w:pPr>
        <w:spacing w:after="0"/>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Gráfica 4</w:t>
      </w:r>
    </w:p>
    <w:p w:rsidR="000D0D1D" w:rsidRDefault="000D0D1D" w:rsidP="000D0D1D">
      <w:pPr>
        <w:spacing w:after="0"/>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es-ES"/>
        </w:rPr>
        <w:t>Evolución del costo de la póliza del SGMM del 2005 al 201</w:t>
      </w:r>
      <w:r w:rsidR="00831DBB">
        <w:rPr>
          <w:rFonts w:ascii="Times New Roman" w:eastAsia="Times New Roman" w:hAnsi="Times New Roman" w:cs="Times New Roman"/>
          <w:bCs/>
          <w:color w:val="000000"/>
          <w:sz w:val="24"/>
          <w:szCs w:val="24"/>
          <w:lang w:eastAsia="es-ES"/>
        </w:rPr>
        <w:t>3</w:t>
      </w:r>
    </w:p>
    <w:p w:rsidR="008D6A14" w:rsidRDefault="008D6A14" w:rsidP="000D0D1D">
      <w:pPr>
        <w:spacing w:after="0"/>
        <w:jc w:val="center"/>
        <w:rPr>
          <w:rFonts w:ascii="Times New Roman" w:hAnsi="Times New Roman" w:cs="Times New Roman"/>
          <w:b/>
          <w:sz w:val="24"/>
          <w:szCs w:val="24"/>
        </w:rPr>
      </w:pPr>
      <w:r w:rsidRPr="008D6A14">
        <w:rPr>
          <w:rFonts w:ascii="Times New Roman" w:hAnsi="Times New Roman" w:cs="Times New Roman"/>
          <w:b/>
          <w:noProof/>
          <w:sz w:val="24"/>
          <w:szCs w:val="24"/>
          <w:lang w:val="es-MX" w:eastAsia="es-MX"/>
        </w:rPr>
        <w:drawing>
          <wp:inline distT="0" distB="0" distL="0" distR="0">
            <wp:extent cx="5029200" cy="3114675"/>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76F6" w:rsidRDefault="00BE76F6" w:rsidP="00BE76F6">
      <w:pPr>
        <w:spacing w:after="0"/>
        <w:rPr>
          <w:rFonts w:ascii="Times New Roman" w:hAnsi="Times New Roman" w:cs="Times New Roman"/>
          <w:b/>
          <w:sz w:val="24"/>
          <w:szCs w:val="24"/>
        </w:rPr>
      </w:pPr>
    </w:p>
    <w:p w:rsidR="0094205E" w:rsidRPr="00C7316B" w:rsidRDefault="0094205E" w:rsidP="000D0D1D">
      <w:pPr>
        <w:spacing w:after="0"/>
        <w:jc w:val="center"/>
        <w:rPr>
          <w:rFonts w:ascii="Times New Roman" w:hAnsi="Times New Roman" w:cs="Times New Roman"/>
          <w:b/>
          <w:sz w:val="24"/>
          <w:szCs w:val="24"/>
        </w:rPr>
      </w:pPr>
    </w:p>
    <w:p w:rsidR="009E406E" w:rsidRDefault="009D61BA" w:rsidP="00366B5B">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EL DESCUENTO QUINCENAL</w:t>
      </w:r>
    </w:p>
    <w:p w:rsidR="00FD3B6D" w:rsidRDefault="009930FE" w:rsidP="00C45E53">
      <w:pPr>
        <w:jc w:val="both"/>
        <w:rPr>
          <w:rFonts w:ascii="Times New Roman" w:hAnsi="Times New Roman" w:cs="Times New Roman"/>
          <w:sz w:val="24"/>
          <w:szCs w:val="24"/>
        </w:rPr>
      </w:pPr>
      <w:r>
        <w:rPr>
          <w:rFonts w:ascii="Times New Roman" w:hAnsi="Times New Roman" w:cs="Times New Roman"/>
          <w:sz w:val="24"/>
          <w:szCs w:val="24"/>
        </w:rPr>
        <w:t>El incremento</w:t>
      </w:r>
      <w:r w:rsidR="00A85043">
        <w:rPr>
          <w:rFonts w:ascii="Times New Roman" w:hAnsi="Times New Roman" w:cs="Times New Roman"/>
          <w:sz w:val="24"/>
          <w:szCs w:val="24"/>
        </w:rPr>
        <w:t xml:space="preserve"> </w:t>
      </w:r>
      <w:r>
        <w:rPr>
          <w:rFonts w:ascii="Times New Roman" w:hAnsi="Times New Roman" w:cs="Times New Roman"/>
          <w:sz w:val="24"/>
          <w:szCs w:val="24"/>
        </w:rPr>
        <w:t>d</w:t>
      </w:r>
      <w:r w:rsidR="00A85043">
        <w:rPr>
          <w:rFonts w:ascii="Times New Roman" w:hAnsi="Times New Roman" w:cs="Times New Roman"/>
          <w:sz w:val="24"/>
          <w:szCs w:val="24"/>
        </w:rPr>
        <w:t xml:space="preserve">el costo de la póliza </w:t>
      </w:r>
      <w:r>
        <w:rPr>
          <w:rFonts w:ascii="Times New Roman" w:hAnsi="Times New Roman" w:cs="Times New Roman"/>
          <w:sz w:val="24"/>
          <w:szCs w:val="24"/>
        </w:rPr>
        <w:t>ha llevado al aumento del descuento quincenal</w:t>
      </w:r>
      <w:r w:rsidR="00BC761F">
        <w:rPr>
          <w:rFonts w:ascii="Times New Roman" w:hAnsi="Times New Roman" w:cs="Times New Roman"/>
          <w:sz w:val="24"/>
          <w:szCs w:val="24"/>
        </w:rPr>
        <w:t xml:space="preserve"> que la Universidad aplica a los académicos para el pago del SGMM. Este descuento en el 2006 era de</w:t>
      </w:r>
      <w:r>
        <w:rPr>
          <w:rFonts w:ascii="Times New Roman" w:hAnsi="Times New Roman" w:cs="Times New Roman"/>
          <w:sz w:val="24"/>
          <w:szCs w:val="24"/>
        </w:rPr>
        <w:t xml:space="preserve"> $75</w:t>
      </w:r>
      <w:r w:rsidR="00BC761F">
        <w:rPr>
          <w:rFonts w:ascii="Times New Roman" w:hAnsi="Times New Roman" w:cs="Times New Roman"/>
          <w:sz w:val="24"/>
          <w:szCs w:val="24"/>
        </w:rPr>
        <w:t>, y para el 2013 será de $418</w:t>
      </w:r>
      <w:r>
        <w:rPr>
          <w:rFonts w:ascii="Times New Roman" w:hAnsi="Times New Roman" w:cs="Times New Roman"/>
          <w:sz w:val="24"/>
          <w:szCs w:val="24"/>
        </w:rPr>
        <w:t xml:space="preserve">. </w:t>
      </w:r>
      <w:r w:rsidR="00BC761F">
        <w:rPr>
          <w:rFonts w:ascii="Times New Roman" w:hAnsi="Times New Roman" w:cs="Times New Roman"/>
          <w:sz w:val="24"/>
          <w:szCs w:val="24"/>
        </w:rPr>
        <w:t>El</w:t>
      </w:r>
      <w:r>
        <w:rPr>
          <w:rFonts w:ascii="Times New Roman" w:hAnsi="Times New Roman" w:cs="Times New Roman"/>
          <w:sz w:val="24"/>
          <w:szCs w:val="24"/>
        </w:rPr>
        <w:t xml:space="preserve"> incremento </w:t>
      </w:r>
      <w:r w:rsidR="00BC761F">
        <w:rPr>
          <w:rFonts w:ascii="Times New Roman" w:hAnsi="Times New Roman" w:cs="Times New Roman"/>
          <w:sz w:val="24"/>
          <w:szCs w:val="24"/>
        </w:rPr>
        <w:t xml:space="preserve">del descuento quincenal en siete años ha sido </w:t>
      </w:r>
      <w:r>
        <w:rPr>
          <w:rFonts w:ascii="Times New Roman" w:hAnsi="Times New Roman" w:cs="Times New Roman"/>
          <w:sz w:val="24"/>
          <w:szCs w:val="24"/>
        </w:rPr>
        <w:t xml:space="preserve">del 457%, lo que </w:t>
      </w:r>
      <w:r w:rsidR="00CD4518">
        <w:rPr>
          <w:rFonts w:ascii="Times New Roman" w:hAnsi="Times New Roman" w:cs="Times New Roman"/>
          <w:sz w:val="24"/>
          <w:szCs w:val="24"/>
        </w:rPr>
        <w:t>da</w:t>
      </w:r>
      <w:r>
        <w:rPr>
          <w:rFonts w:ascii="Times New Roman" w:hAnsi="Times New Roman" w:cs="Times New Roman"/>
          <w:sz w:val="24"/>
          <w:szCs w:val="24"/>
        </w:rPr>
        <w:t xml:space="preserve"> un promedio anual del 65%</w:t>
      </w:r>
      <w:r w:rsidR="00A61B14">
        <w:rPr>
          <w:rFonts w:ascii="Times New Roman" w:hAnsi="Times New Roman" w:cs="Times New Roman"/>
          <w:sz w:val="24"/>
          <w:szCs w:val="24"/>
        </w:rPr>
        <w:t xml:space="preserve">. </w:t>
      </w:r>
      <w:r w:rsidR="00BC761F">
        <w:rPr>
          <w:rFonts w:ascii="Times New Roman" w:hAnsi="Times New Roman" w:cs="Times New Roman"/>
          <w:sz w:val="24"/>
          <w:szCs w:val="24"/>
        </w:rPr>
        <w:t xml:space="preserve"> Ver gráfica 5.</w:t>
      </w:r>
    </w:p>
    <w:p w:rsidR="00A61B14" w:rsidRDefault="00A61B14" w:rsidP="00C45E53">
      <w:pPr>
        <w:jc w:val="both"/>
        <w:rPr>
          <w:rFonts w:ascii="Times New Roman" w:hAnsi="Times New Roman" w:cs="Times New Roman"/>
          <w:sz w:val="24"/>
          <w:szCs w:val="24"/>
        </w:rPr>
      </w:pPr>
      <w:r>
        <w:rPr>
          <w:rFonts w:ascii="Times New Roman" w:hAnsi="Times New Roman" w:cs="Times New Roman"/>
          <w:sz w:val="24"/>
          <w:szCs w:val="24"/>
        </w:rPr>
        <w:t xml:space="preserve">Un descuento quincenal de $418 es casi equivalente al descuento quincenal que por concepto de cotización al ISSSTESON se hace a un profesor de tiempo completo </w:t>
      </w:r>
      <w:r>
        <w:rPr>
          <w:rFonts w:ascii="Times New Roman" w:hAnsi="Times New Roman" w:cs="Times New Roman"/>
          <w:sz w:val="24"/>
          <w:szCs w:val="24"/>
        </w:rPr>
        <w:lastRenderedPageBreak/>
        <w:t>asociado B, o a un técnico académico general B, o un profesor de a</w:t>
      </w:r>
      <w:r w:rsidR="00206971">
        <w:rPr>
          <w:rFonts w:ascii="Times New Roman" w:hAnsi="Times New Roman" w:cs="Times New Roman"/>
          <w:sz w:val="24"/>
          <w:szCs w:val="24"/>
        </w:rPr>
        <w:t xml:space="preserve">signatura con 25 </w:t>
      </w:r>
      <w:proofErr w:type="spellStart"/>
      <w:r w:rsidR="00206971">
        <w:rPr>
          <w:rFonts w:ascii="Times New Roman" w:hAnsi="Times New Roman" w:cs="Times New Roman"/>
          <w:sz w:val="24"/>
          <w:szCs w:val="24"/>
        </w:rPr>
        <w:t>hsm</w:t>
      </w:r>
      <w:proofErr w:type="spellEnd"/>
      <w:r w:rsidR="00206971">
        <w:rPr>
          <w:rFonts w:ascii="Times New Roman" w:hAnsi="Times New Roman" w:cs="Times New Roman"/>
          <w:sz w:val="24"/>
          <w:szCs w:val="24"/>
        </w:rPr>
        <w:t xml:space="preserve"> y nivel C, y esto sin considerar el descuento por los posibles dependientes. </w:t>
      </w:r>
      <w:r w:rsidR="00B45C4D">
        <w:rPr>
          <w:rFonts w:ascii="Times New Roman" w:hAnsi="Times New Roman" w:cs="Times New Roman"/>
          <w:sz w:val="24"/>
          <w:szCs w:val="24"/>
        </w:rPr>
        <w:t xml:space="preserve">Con este ritmo de crecimiento del descuento quincenal pronto </w:t>
      </w:r>
      <w:r w:rsidR="00B37BFC">
        <w:rPr>
          <w:rFonts w:ascii="Times New Roman" w:hAnsi="Times New Roman" w:cs="Times New Roman"/>
          <w:sz w:val="24"/>
          <w:szCs w:val="24"/>
        </w:rPr>
        <w:t xml:space="preserve">los académicos </w:t>
      </w:r>
      <w:r w:rsidR="00B45C4D">
        <w:rPr>
          <w:rFonts w:ascii="Times New Roman" w:hAnsi="Times New Roman" w:cs="Times New Roman"/>
          <w:sz w:val="24"/>
          <w:szCs w:val="24"/>
        </w:rPr>
        <w:t>estará</w:t>
      </w:r>
      <w:r w:rsidR="00B37BFC">
        <w:rPr>
          <w:rFonts w:ascii="Times New Roman" w:hAnsi="Times New Roman" w:cs="Times New Roman"/>
          <w:sz w:val="24"/>
          <w:szCs w:val="24"/>
        </w:rPr>
        <w:t>n</w:t>
      </w:r>
      <w:r w:rsidR="00B45C4D">
        <w:rPr>
          <w:rFonts w:ascii="Times New Roman" w:hAnsi="Times New Roman" w:cs="Times New Roman"/>
          <w:sz w:val="24"/>
          <w:szCs w:val="24"/>
        </w:rPr>
        <w:t xml:space="preserve"> pagando mucho más por </w:t>
      </w:r>
      <w:r w:rsidR="00B03E9D">
        <w:rPr>
          <w:rFonts w:ascii="Times New Roman" w:hAnsi="Times New Roman" w:cs="Times New Roman"/>
          <w:sz w:val="24"/>
          <w:szCs w:val="24"/>
        </w:rPr>
        <w:t xml:space="preserve">el </w:t>
      </w:r>
      <w:r w:rsidR="00B45C4D">
        <w:rPr>
          <w:rFonts w:ascii="Times New Roman" w:hAnsi="Times New Roman" w:cs="Times New Roman"/>
          <w:sz w:val="24"/>
          <w:szCs w:val="24"/>
        </w:rPr>
        <w:t>servicio</w:t>
      </w:r>
      <w:r w:rsidR="00B03E9D">
        <w:rPr>
          <w:rFonts w:ascii="Times New Roman" w:hAnsi="Times New Roman" w:cs="Times New Roman"/>
          <w:sz w:val="24"/>
          <w:szCs w:val="24"/>
        </w:rPr>
        <w:t xml:space="preserve"> del SGMM</w:t>
      </w:r>
      <w:r w:rsidR="00B45C4D">
        <w:rPr>
          <w:rFonts w:ascii="Times New Roman" w:hAnsi="Times New Roman" w:cs="Times New Roman"/>
          <w:sz w:val="24"/>
          <w:szCs w:val="24"/>
        </w:rPr>
        <w:t xml:space="preserve"> que por el servicio del ISSSTESON.</w:t>
      </w:r>
      <w:r>
        <w:rPr>
          <w:rFonts w:ascii="Times New Roman" w:hAnsi="Times New Roman" w:cs="Times New Roman"/>
          <w:sz w:val="24"/>
          <w:szCs w:val="24"/>
        </w:rPr>
        <w:t xml:space="preserve"> </w:t>
      </w:r>
    </w:p>
    <w:p w:rsidR="00BC761F" w:rsidRDefault="00BC761F" w:rsidP="00BC761F">
      <w:pPr>
        <w:spacing w:after="0"/>
        <w:jc w:val="center"/>
        <w:rPr>
          <w:rFonts w:ascii="Times New Roman" w:hAnsi="Times New Roman" w:cs="Times New Roman"/>
          <w:sz w:val="24"/>
          <w:szCs w:val="24"/>
        </w:rPr>
      </w:pPr>
      <w:r>
        <w:rPr>
          <w:rFonts w:ascii="Times New Roman" w:hAnsi="Times New Roman" w:cs="Times New Roman"/>
          <w:sz w:val="24"/>
          <w:szCs w:val="24"/>
        </w:rPr>
        <w:t>Gráfica 5</w:t>
      </w:r>
    </w:p>
    <w:p w:rsidR="00BC761F" w:rsidRDefault="00BC761F" w:rsidP="00BC761F">
      <w:pPr>
        <w:spacing w:after="0"/>
        <w:jc w:val="center"/>
        <w:rPr>
          <w:rFonts w:ascii="Times New Roman" w:hAnsi="Times New Roman" w:cs="Times New Roman"/>
          <w:sz w:val="24"/>
          <w:szCs w:val="24"/>
        </w:rPr>
      </w:pPr>
      <w:r>
        <w:rPr>
          <w:rFonts w:ascii="Times New Roman" w:hAnsi="Times New Roman" w:cs="Times New Roman"/>
          <w:sz w:val="24"/>
          <w:szCs w:val="24"/>
        </w:rPr>
        <w:t>Evolución del descuento quincenal para el pago de la póliza del SGMM del 2006 al 2013</w:t>
      </w:r>
    </w:p>
    <w:p w:rsidR="0069022B" w:rsidRPr="0069022B" w:rsidRDefault="009D61BA" w:rsidP="00B45C4D">
      <w:pPr>
        <w:jc w:val="center"/>
        <w:rPr>
          <w:rFonts w:ascii="Times New Roman" w:hAnsi="Times New Roman" w:cs="Times New Roman"/>
          <w:sz w:val="24"/>
          <w:szCs w:val="24"/>
        </w:rPr>
      </w:pPr>
      <w:r w:rsidRPr="009D61BA">
        <w:rPr>
          <w:rFonts w:ascii="Times New Roman" w:hAnsi="Times New Roman" w:cs="Times New Roman"/>
          <w:noProof/>
          <w:sz w:val="24"/>
          <w:szCs w:val="24"/>
          <w:lang w:val="es-MX" w:eastAsia="es-MX"/>
        </w:rPr>
        <w:drawing>
          <wp:inline distT="0" distB="0" distL="0" distR="0">
            <wp:extent cx="5267325" cy="3086100"/>
            <wp:effectExtent l="1905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406E" w:rsidRDefault="009E406E" w:rsidP="00366B5B">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PROPUESTAS</w:t>
      </w:r>
    </w:p>
    <w:p w:rsidR="00366B5B" w:rsidRPr="00DC5D95" w:rsidRDefault="00366B5B" w:rsidP="00366B5B">
      <w:pPr>
        <w:pStyle w:val="Prrafodelista"/>
        <w:jc w:val="both"/>
        <w:rPr>
          <w:rFonts w:ascii="Times New Roman" w:hAnsi="Times New Roman" w:cs="Times New Roman"/>
          <w:b/>
          <w:sz w:val="24"/>
          <w:szCs w:val="24"/>
        </w:rPr>
      </w:pPr>
    </w:p>
    <w:p w:rsidR="00366B5B" w:rsidRDefault="00C45E53" w:rsidP="009562A5">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Demandar </w:t>
      </w:r>
      <w:r w:rsidR="00BD5E71">
        <w:rPr>
          <w:rFonts w:ascii="Times New Roman" w:hAnsi="Times New Roman" w:cs="Times New Roman"/>
          <w:sz w:val="24"/>
          <w:szCs w:val="24"/>
        </w:rPr>
        <w:t>que la cantidad completa que aporta la Universidad para el pago de la póliza del SGMM sea permanente</w:t>
      </w:r>
      <w:r w:rsidR="00366B5B">
        <w:rPr>
          <w:rFonts w:ascii="Times New Roman" w:hAnsi="Times New Roman" w:cs="Times New Roman"/>
          <w:sz w:val="24"/>
          <w:szCs w:val="24"/>
        </w:rPr>
        <w:t>.</w:t>
      </w:r>
    </w:p>
    <w:p w:rsidR="008A1FA2" w:rsidRDefault="008A1FA2" w:rsidP="009562A5">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Incluir en el pliego petitorio de la revisión contractual </w:t>
      </w:r>
      <w:r w:rsidR="005B25F8">
        <w:rPr>
          <w:rFonts w:ascii="Times New Roman" w:hAnsi="Times New Roman" w:cs="Times New Roman"/>
          <w:sz w:val="24"/>
          <w:szCs w:val="24"/>
        </w:rPr>
        <w:t>una aportación de $1.</w:t>
      </w:r>
      <w:r w:rsidR="007A42B8">
        <w:rPr>
          <w:rFonts w:ascii="Times New Roman" w:hAnsi="Times New Roman" w:cs="Times New Roman"/>
          <w:sz w:val="24"/>
          <w:szCs w:val="24"/>
        </w:rPr>
        <w:t>5 millones para el pago de la póliza del 2012-2013</w:t>
      </w:r>
      <w:r>
        <w:rPr>
          <w:rFonts w:ascii="Times New Roman" w:hAnsi="Times New Roman" w:cs="Times New Roman"/>
          <w:sz w:val="24"/>
          <w:szCs w:val="24"/>
        </w:rPr>
        <w:t>.</w:t>
      </w:r>
      <w:r w:rsidR="00A6684A">
        <w:rPr>
          <w:rFonts w:ascii="Times New Roman" w:hAnsi="Times New Roman" w:cs="Times New Roman"/>
          <w:sz w:val="24"/>
          <w:szCs w:val="24"/>
        </w:rPr>
        <w:t xml:space="preserve"> Este monto reduciría el descuento quincenal de $418 a $375.</w:t>
      </w:r>
    </w:p>
    <w:p w:rsidR="008A1FA2" w:rsidRDefault="008A1FA2" w:rsidP="00366B5B">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Incluir </w:t>
      </w:r>
      <w:r w:rsidR="007A42B8">
        <w:rPr>
          <w:rFonts w:ascii="Times New Roman" w:hAnsi="Times New Roman" w:cs="Times New Roman"/>
          <w:sz w:val="24"/>
          <w:szCs w:val="24"/>
        </w:rPr>
        <w:t xml:space="preserve">en el pliego petitorio de la revisión contractual </w:t>
      </w:r>
      <w:r w:rsidR="004117F2">
        <w:rPr>
          <w:rFonts w:ascii="Times New Roman" w:hAnsi="Times New Roman" w:cs="Times New Roman"/>
          <w:sz w:val="24"/>
          <w:szCs w:val="24"/>
        </w:rPr>
        <w:t>que</w:t>
      </w:r>
      <w:r w:rsidR="005B25F8">
        <w:rPr>
          <w:rFonts w:ascii="Times New Roman" w:hAnsi="Times New Roman" w:cs="Times New Roman"/>
          <w:sz w:val="24"/>
          <w:szCs w:val="24"/>
        </w:rPr>
        <w:t xml:space="preserve"> </w:t>
      </w:r>
      <w:r w:rsidR="004117F2">
        <w:rPr>
          <w:rFonts w:ascii="Times New Roman" w:hAnsi="Times New Roman" w:cs="Times New Roman"/>
          <w:sz w:val="24"/>
          <w:szCs w:val="24"/>
        </w:rPr>
        <w:t>la Universidad aporte recursos para el pago del 60% de la póliza del SGMM</w:t>
      </w:r>
      <w:r w:rsidR="00A6684A">
        <w:rPr>
          <w:rFonts w:ascii="Times New Roman" w:hAnsi="Times New Roman" w:cs="Times New Roman"/>
          <w:sz w:val="24"/>
          <w:szCs w:val="24"/>
        </w:rPr>
        <w:t>.</w:t>
      </w:r>
    </w:p>
    <w:p w:rsidR="009562A5" w:rsidRPr="009562A5" w:rsidRDefault="001C69CC" w:rsidP="009562A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Pactar con la Universidad que destine personal para dar seguimiento a la siniestralidad reportada por la compañía de seguros.</w:t>
      </w:r>
    </w:p>
    <w:p w:rsidR="0069022B" w:rsidRPr="00DC5D95" w:rsidRDefault="0069022B" w:rsidP="0069022B">
      <w:pPr>
        <w:pStyle w:val="Prrafodelista"/>
        <w:jc w:val="both"/>
        <w:rPr>
          <w:rFonts w:ascii="Times New Roman" w:hAnsi="Times New Roman" w:cs="Times New Roman"/>
          <w:sz w:val="24"/>
          <w:szCs w:val="24"/>
        </w:rPr>
      </w:pPr>
    </w:p>
    <w:p w:rsidR="00366B5B" w:rsidRPr="004F5E40" w:rsidRDefault="00366B5B" w:rsidP="00366B5B">
      <w:pPr>
        <w:jc w:val="both"/>
        <w:rPr>
          <w:rFonts w:ascii="Times New Roman" w:hAnsi="Times New Roman" w:cs="Times New Roman"/>
          <w:sz w:val="24"/>
          <w:szCs w:val="24"/>
        </w:rPr>
      </w:pPr>
    </w:p>
    <w:p w:rsidR="000D260C" w:rsidRDefault="000D260C"/>
    <w:sectPr w:rsidR="000D260C" w:rsidSect="00D450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B59"/>
    <w:multiLevelType w:val="hybridMultilevel"/>
    <w:tmpl w:val="ACDE4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8B7545"/>
    <w:multiLevelType w:val="hybridMultilevel"/>
    <w:tmpl w:val="0F6E4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2104C8"/>
    <w:multiLevelType w:val="hybridMultilevel"/>
    <w:tmpl w:val="644417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B43EA2"/>
    <w:multiLevelType w:val="hybridMultilevel"/>
    <w:tmpl w:val="19CE3D28"/>
    <w:lvl w:ilvl="0" w:tplc="CF9E69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66B5B"/>
    <w:rsid w:val="0005766F"/>
    <w:rsid w:val="000629B8"/>
    <w:rsid w:val="000B0CE9"/>
    <w:rsid w:val="000C0EDB"/>
    <w:rsid w:val="000C740B"/>
    <w:rsid w:val="000D0D1D"/>
    <w:rsid w:val="000D1733"/>
    <w:rsid w:val="000D260C"/>
    <w:rsid w:val="000D56FE"/>
    <w:rsid w:val="000E10EF"/>
    <w:rsid w:val="000F1448"/>
    <w:rsid w:val="001007CC"/>
    <w:rsid w:val="001142F4"/>
    <w:rsid w:val="00121F24"/>
    <w:rsid w:val="001248BF"/>
    <w:rsid w:val="00130DF6"/>
    <w:rsid w:val="00141EF8"/>
    <w:rsid w:val="00147EF2"/>
    <w:rsid w:val="0015326D"/>
    <w:rsid w:val="001A64B0"/>
    <w:rsid w:val="001C423D"/>
    <w:rsid w:val="001C69CC"/>
    <w:rsid w:val="001D497B"/>
    <w:rsid w:val="001E1CA2"/>
    <w:rsid w:val="00206971"/>
    <w:rsid w:val="00212392"/>
    <w:rsid w:val="00217039"/>
    <w:rsid w:val="0026006D"/>
    <w:rsid w:val="00262B71"/>
    <w:rsid w:val="0026726C"/>
    <w:rsid w:val="00290097"/>
    <w:rsid w:val="002B415B"/>
    <w:rsid w:val="002B6B53"/>
    <w:rsid w:val="002C0E05"/>
    <w:rsid w:val="002C5710"/>
    <w:rsid w:val="002F2C31"/>
    <w:rsid w:val="003041A2"/>
    <w:rsid w:val="00325AAE"/>
    <w:rsid w:val="00335CD2"/>
    <w:rsid w:val="00345EC1"/>
    <w:rsid w:val="00366B5B"/>
    <w:rsid w:val="00370B73"/>
    <w:rsid w:val="0039044D"/>
    <w:rsid w:val="003D172C"/>
    <w:rsid w:val="003D45B7"/>
    <w:rsid w:val="004117F2"/>
    <w:rsid w:val="00411990"/>
    <w:rsid w:val="00413934"/>
    <w:rsid w:val="00430560"/>
    <w:rsid w:val="00431044"/>
    <w:rsid w:val="00435C8D"/>
    <w:rsid w:val="00453505"/>
    <w:rsid w:val="00454BD2"/>
    <w:rsid w:val="0046156A"/>
    <w:rsid w:val="00471F03"/>
    <w:rsid w:val="00493FF5"/>
    <w:rsid w:val="004947D8"/>
    <w:rsid w:val="004A58BF"/>
    <w:rsid w:val="004E541C"/>
    <w:rsid w:val="004F67C6"/>
    <w:rsid w:val="005175B2"/>
    <w:rsid w:val="005405CA"/>
    <w:rsid w:val="00554D81"/>
    <w:rsid w:val="00574E11"/>
    <w:rsid w:val="005778D2"/>
    <w:rsid w:val="00597DBA"/>
    <w:rsid w:val="005A3119"/>
    <w:rsid w:val="005B25F8"/>
    <w:rsid w:val="005B4B74"/>
    <w:rsid w:val="005B5E49"/>
    <w:rsid w:val="005B6409"/>
    <w:rsid w:val="00603E74"/>
    <w:rsid w:val="00653DC0"/>
    <w:rsid w:val="0069022B"/>
    <w:rsid w:val="006B3547"/>
    <w:rsid w:val="006D262D"/>
    <w:rsid w:val="006D4F35"/>
    <w:rsid w:val="006E511A"/>
    <w:rsid w:val="006F36E0"/>
    <w:rsid w:val="00707342"/>
    <w:rsid w:val="0072239D"/>
    <w:rsid w:val="00731C35"/>
    <w:rsid w:val="00734B7A"/>
    <w:rsid w:val="00746573"/>
    <w:rsid w:val="00785A9E"/>
    <w:rsid w:val="0079787A"/>
    <w:rsid w:val="007A42B8"/>
    <w:rsid w:val="007F045C"/>
    <w:rsid w:val="007F0C27"/>
    <w:rsid w:val="00825EFB"/>
    <w:rsid w:val="0083103B"/>
    <w:rsid w:val="00831DBB"/>
    <w:rsid w:val="00837D5D"/>
    <w:rsid w:val="00867FBD"/>
    <w:rsid w:val="00870CE8"/>
    <w:rsid w:val="008A0C7A"/>
    <w:rsid w:val="008A15F2"/>
    <w:rsid w:val="008A1FA2"/>
    <w:rsid w:val="008B3D57"/>
    <w:rsid w:val="008B3E49"/>
    <w:rsid w:val="008B5BDF"/>
    <w:rsid w:val="008D3052"/>
    <w:rsid w:val="008D6A14"/>
    <w:rsid w:val="008E6A50"/>
    <w:rsid w:val="009003EB"/>
    <w:rsid w:val="009100A1"/>
    <w:rsid w:val="009375B4"/>
    <w:rsid w:val="0094205E"/>
    <w:rsid w:val="0094267A"/>
    <w:rsid w:val="00945666"/>
    <w:rsid w:val="00947585"/>
    <w:rsid w:val="00950647"/>
    <w:rsid w:val="00955625"/>
    <w:rsid w:val="009562A5"/>
    <w:rsid w:val="0098164F"/>
    <w:rsid w:val="00984CF0"/>
    <w:rsid w:val="00987CE5"/>
    <w:rsid w:val="009930FE"/>
    <w:rsid w:val="009971D1"/>
    <w:rsid w:val="009D61BA"/>
    <w:rsid w:val="009E406E"/>
    <w:rsid w:val="00A251F8"/>
    <w:rsid w:val="00A265CD"/>
    <w:rsid w:val="00A61B14"/>
    <w:rsid w:val="00A6684A"/>
    <w:rsid w:val="00A670CB"/>
    <w:rsid w:val="00A73C68"/>
    <w:rsid w:val="00A85043"/>
    <w:rsid w:val="00AB4BCB"/>
    <w:rsid w:val="00AB5F6C"/>
    <w:rsid w:val="00AB6C56"/>
    <w:rsid w:val="00AC45B7"/>
    <w:rsid w:val="00AF6712"/>
    <w:rsid w:val="00B03E9D"/>
    <w:rsid w:val="00B2090B"/>
    <w:rsid w:val="00B37BFC"/>
    <w:rsid w:val="00B45C4D"/>
    <w:rsid w:val="00B47A62"/>
    <w:rsid w:val="00B61602"/>
    <w:rsid w:val="00B75C0A"/>
    <w:rsid w:val="00B82566"/>
    <w:rsid w:val="00B84F81"/>
    <w:rsid w:val="00BB3383"/>
    <w:rsid w:val="00BC761F"/>
    <w:rsid w:val="00BD5E71"/>
    <w:rsid w:val="00BE0D0E"/>
    <w:rsid w:val="00BE76F6"/>
    <w:rsid w:val="00C145DF"/>
    <w:rsid w:val="00C15365"/>
    <w:rsid w:val="00C162E4"/>
    <w:rsid w:val="00C16CCC"/>
    <w:rsid w:val="00C40D14"/>
    <w:rsid w:val="00C45591"/>
    <w:rsid w:val="00C45E53"/>
    <w:rsid w:val="00C7316B"/>
    <w:rsid w:val="00C8542C"/>
    <w:rsid w:val="00C9398B"/>
    <w:rsid w:val="00CB53B5"/>
    <w:rsid w:val="00CB7478"/>
    <w:rsid w:val="00CD4518"/>
    <w:rsid w:val="00CE153C"/>
    <w:rsid w:val="00CF67DA"/>
    <w:rsid w:val="00D01080"/>
    <w:rsid w:val="00D162E9"/>
    <w:rsid w:val="00D22136"/>
    <w:rsid w:val="00D25493"/>
    <w:rsid w:val="00D57528"/>
    <w:rsid w:val="00D75276"/>
    <w:rsid w:val="00D81BED"/>
    <w:rsid w:val="00D93981"/>
    <w:rsid w:val="00DA0DC4"/>
    <w:rsid w:val="00DA11FC"/>
    <w:rsid w:val="00DA4B44"/>
    <w:rsid w:val="00DA7BBC"/>
    <w:rsid w:val="00DE616E"/>
    <w:rsid w:val="00DF645D"/>
    <w:rsid w:val="00E1205D"/>
    <w:rsid w:val="00E40EA3"/>
    <w:rsid w:val="00E46326"/>
    <w:rsid w:val="00E50EFA"/>
    <w:rsid w:val="00E522E2"/>
    <w:rsid w:val="00E60AA3"/>
    <w:rsid w:val="00E62AD1"/>
    <w:rsid w:val="00E66A2E"/>
    <w:rsid w:val="00E773E3"/>
    <w:rsid w:val="00E81EEA"/>
    <w:rsid w:val="00E93F71"/>
    <w:rsid w:val="00EA7C2B"/>
    <w:rsid w:val="00ED09BD"/>
    <w:rsid w:val="00F10028"/>
    <w:rsid w:val="00F1040A"/>
    <w:rsid w:val="00F72AE6"/>
    <w:rsid w:val="00F73E93"/>
    <w:rsid w:val="00F8000C"/>
    <w:rsid w:val="00F82C6B"/>
    <w:rsid w:val="00FD3B6D"/>
    <w:rsid w:val="00FE5D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5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B5B"/>
    <w:pPr>
      <w:ind w:left="720"/>
      <w:contextualSpacing/>
    </w:pPr>
  </w:style>
  <w:style w:type="paragraph" w:styleId="Textodeglobo">
    <w:name w:val="Balloon Text"/>
    <w:basedOn w:val="Normal"/>
    <w:link w:val="TextodegloboCar"/>
    <w:uiPriority w:val="99"/>
    <w:semiHidden/>
    <w:unhideWhenUsed/>
    <w:rsid w:val="00C4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D14"/>
    <w:rPr>
      <w:rFonts w:ascii="Tahoma" w:hAnsi="Tahoma" w:cs="Tahoma"/>
      <w:sz w:val="16"/>
      <w:szCs w:val="16"/>
      <w:lang w:val="es-ES"/>
    </w:rPr>
  </w:style>
  <w:style w:type="character" w:styleId="Refdecomentario">
    <w:name w:val="annotation reference"/>
    <w:basedOn w:val="Fuentedeprrafopredeter"/>
    <w:uiPriority w:val="99"/>
    <w:semiHidden/>
    <w:unhideWhenUsed/>
    <w:rsid w:val="00E60AA3"/>
    <w:rPr>
      <w:sz w:val="16"/>
      <w:szCs w:val="16"/>
    </w:rPr>
  </w:style>
  <w:style w:type="paragraph" w:styleId="Textocomentario">
    <w:name w:val="annotation text"/>
    <w:basedOn w:val="Normal"/>
    <w:link w:val="TextocomentarioCar"/>
    <w:uiPriority w:val="99"/>
    <w:semiHidden/>
    <w:unhideWhenUsed/>
    <w:rsid w:val="00E60A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0AA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60AA3"/>
    <w:rPr>
      <w:b/>
      <w:bCs/>
    </w:rPr>
  </w:style>
  <w:style w:type="character" w:customStyle="1" w:styleId="AsuntodelcomentarioCar">
    <w:name w:val="Asunto del comentario Car"/>
    <w:basedOn w:val="TextocomentarioCar"/>
    <w:link w:val="Asuntodelcomentario"/>
    <w:uiPriority w:val="99"/>
    <w:semiHidden/>
    <w:rsid w:val="00E60AA3"/>
    <w:rPr>
      <w:b/>
      <w:bCs/>
    </w:rPr>
  </w:style>
  <w:style w:type="table" w:styleId="Tablaconcuadrcula">
    <w:name w:val="Table Grid"/>
    <w:basedOn w:val="Tablanormal"/>
    <w:uiPriority w:val="59"/>
    <w:rsid w:val="008B3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553962">
      <w:bodyDiv w:val="1"/>
      <w:marLeft w:val="0"/>
      <w:marRight w:val="0"/>
      <w:marTop w:val="0"/>
      <w:marBottom w:val="0"/>
      <w:divBdr>
        <w:top w:val="none" w:sz="0" w:space="0" w:color="auto"/>
        <w:left w:val="none" w:sz="0" w:space="0" w:color="auto"/>
        <w:bottom w:val="none" w:sz="0" w:space="0" w:color="auto"/>
        <w:right w:val="none" w:sz="0" w:space="0" w:color="auto"/>
      </w:divBdr>
    </w:div>
    <w:div w:id="353193708">
      <w:bodyDiv w:val="1"/>
      <w:marLeft w:val="0"/>
      <w:marRight w:val="0"/>
      <w:marTop w:val="0"/>
      <w:marBottom w:val="0"/>
      <w:divBdr>
        <w:top w:val="none" w:sz="0" w:space="0" w:color="auto"/>
        <w:left w:val="none" w:sz="0" w:space="0" w:color="auto"/>
        <w:bottom w:val="none" w:sz="0" w:space="0" w:color="auto"/>
        <w:right w:val="none" w:sz="0" w:space="0" w:color="auto"/>
      </w:divBdr>
    </w:div>
    <w:div w:id="1091974848">
      <w:bodyDiv w:val="1"/>
      <w:marLeft w:val="0"/>
      <w:marRight w:val="0"/>
      <w:marTop w:val="0"/>
      <w:marBottom w:val="0"/>
      <w:divBdr>
        <w:top w:val="none" w:sz="0" w:space="0" w:color="auto"/>
        <w:left w:val="none" w:sz="0" w:space="0" w:color="auto"/>
        <w:bottom w:val="none" w:sz="0" w:space="0" w:color="auto"/>
        <w:right w:val="none" w:sz="0" w:space="0" w:color="auto"/>
      </w:divBdr>
    </w:div>
    <w:div w:id="1176580886">
      <w:bodyDiv w:val="1"/>
      <w:marLeft w:val="0"/>
      <w:marRight w:val="0"/>
      <w:marTop w:val="0"/>
      <w:marBottom w:val="0"/>
      <w:divBdr>
        <w:top w:val="none" w:sz="0" w:space="0" w:color="auto"/>
        <w:left w:val="none" w:sz="0" w:space="0" w:color="auto"/>
        <w:bottom w:val="none" w:sz="0" w:space="0" w:color="auto"/>
        <w:right w:val="none" w:sz="0" w:space="0" w:color="auto"/>
      </w:divBdr>
    </w:div>
    <w:div w:id="17554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G:\FOROS%20REV%202013\SALUD%20E%20ISSSTESON\SGM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FOROS%20REV%202013\SALUD%20E%20ISSSTESON\SGM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FOROS%20REV%202013\SALUD%20E%20ISSSTESON\SGM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FOROS%20REV%202013\SALUD%20E%20ISSSTESON\SGM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FOROS%20REV%202013\SALUD%20E%20ISSSTESON\SGM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lang="es-MX"/>
            </a:pPr>
            <a:r>
              <a:rPr lang="es-ES"/>
              <a:t>APORTACIÓN</a:t>
            </a:r>
            <a:r>
              <a:rPr lang="es-ES" baseline="0"/>
              <a:t> DE LA UNIVERSIDAD AL PAGO DE LA PÓLIZA DEL </a:t>
            </a:r>
            <a:r>
              <a:rPr lang="es-ES"/>
              <a:t>SGMM</a:t>
            </a:r>
          </a:p>
        </c:rich>
      </c:tx>
      <c:layout/>
    </c:title>
    <c:plotArea>
      <c:layout/>
      <c:barChart>
        <c:barDir val="col"/>
        <c:grouping val="clustered"/>
        <c:ser>
          <c:idx val="0"/>
          <c:order val="0"/>
          <c:tx>
            <c:strRef>
              <c:f>Hoja1!$B$4</c:f>
              <c:strCache>
                <c:ptCount val="1"/>
                <c:pt idx="0">
                  <c:v>SGMM</c:v>
                </c:pt>
              </c:strCache>
            </c:strRef>
          </c:tx>
          <c:cat>
            <c:numRef>
              <c:f>Hoja1!$C$3:$N$3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Hoja1!$C$4:$N$4</c:f>
              <c:numCache>
                <c:formatCode>"$"#,##0.00</c:formatCode>
                <c:ptCount val="12"/>
                <c:pt idx="0">
                  <c:v>0</c:v>
                </c:pt>
                <c:pt idx="1">
                  <c:v>3000000</c:v>
                </c:pt>
                <c:pt idx="2">
                  <c:v>3000000</c:v>
                </c:pt>
                <c:pt idx="3">
                  <c:v>3000000</c:v>
                </c:pt>
                <c:pt idx="4">
                  <c:v>3000000</c:v>
                </c:pt>
                <c:pt idx="5">
                  <c:v>3250000</c:v>
                </c:pt>
                <c:pt idx="6">
                  <c:v>3250000</c:v>
                </c:pt>
                <c:pt idx="7">
                  <c:v>4250000</c:v>
                </c:pt>
                <c:pt idx="8">
                  <c:v>4750000</c:v>
                </c:pt>
                <c:pt idx="9">
                  <c:v>5250000</c:v>
                </c:pt>
                <c:pt idx="10">
                  <c:v>6700000</c:v>
                </c:pt>
                <c:pt idx="11">
                  <c:v>6890000</c:v>
                </c:pt>
              </c:numCache>
            </c:numRef>
          </c:val>
        </c:ser>
        <c:axId val="68551424"/>
        <c:axId val="68552960"/>
      </c:barChart>
      <c:catAx>
        <c:axId val="68551424"/>
        <c:scaling>
          <c:orientation val="minMax"/>
        </c:scaling>
        <c:axPos val="b"/>
        <c:numFmt formatCode="General" sourceLinked="1"/>
        <c:majorTickMark val="none"/>
        <c:tickLblPos val="nextTo"/>
        <c:txPr>
          <a:bodyPr/>
          <a:lstStyle/>
          <a:p>
            <a:pPr>
              <a:defRPr lang="es-MX"/>
            </a:pPr>
            <a:endParaRPr lang="es-MX"/>
          </a:p>
        </c:txPr>
        <c:crossAx val="68552960"/>
        <c:crosses val="autoZero"/>
        <c:auto val="1"/>
        <c:lblAlgn val="ctr"/>
        <c:lblOffset val="100"/>
      </c:catAx>
      <c:valAx>
        <c:axId val="68552960"/>
        <c:scaling>
          <c:orientation val="minMax"/>
        </c:scaling>
        <c:axPos val="l"/>
        <c:majorGridlines/>
        <c:numFmt formatCode="&quot;$&quot;#,##0.00" sourceLinked="1"/>
        <c:majorTickMark val="none"/>
        <c:tickLblPos val="nextTo"/>
        <c:txPr>
          <a:bodyPr/>
          <a:lstStyle/>
          <a:p>
            <a:pPr>
              <a:defRPr lang="es-MX"/>
            </a:pPr>
            <a:endParaRPr lang="es-MX"/>
          </a:p>
        </c:txPr>
        <c:crossAx val="68551424"/>
        <c:crosses val="autoZero"/>
        <c:crossBetween val="between"/>
      </c:valAx>
    </c:plotArea>
    <c:legend>
      <c:legendPos val="r"/>
      <c:layout/>
      <c:txPr>
        <a:bodyPr/>
        <a:lstStyle/>
        <a:p>
          <a:pPr>
            <a:defRPr lang="es-MX"/>
          </a:pPr>
          <a:endParaRPr lang="es-MX"/>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lang="es-MX"/>
            </a:pPr>
            <a:r>
              <a:rPr lang="es-ES"/>
              <a:t>APORTACIÓN TOTAL PARA EL PAGO DE LA PÓLIZA DEL SGMM</a:t>
            </a:r>
          </a:p>
        </c:rich>
      </c:tx>
      <c:layout/>
    </c:title>
    <c:plotArea>
      <c:layout/>
      <c:barChart>
        <c:barDir val="col"/>
        <c:grouping val="clustered"/>
        <c:ser>
          <c:idx val="0"/>
          <c:order val="0"/>
          <c:tx>
            <c:strRef>
              <c:f>Hoja1!$B$9</c:f>
              <c:strCache>
                <c:ptCount val="1"/>
                <c:pt idx="0">
                  <c:v>SGMM</c:v>
                </c:pt>
              </c:strCache>
            </c:strRef>
          </c:tx>
          <c:cat>
            <c:numRef>
              <c:f>Hoja1!$C$8:$N$8</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Hoja1!$C$9:$N$9</c:f>
              <c:numCache>
                <c:formatCode>"$"#,##0.00</c:formatCode>
                <c:ptCount val="12"/>
                <c:pt idx="0">
                  <c:v>0</c:v>
                </c:pt>
                <c:pt idx="1">
                  <c:v>4000000</c:v>
                </c:pt>
                <c:pt idx="2">
                  <c:v>4000000</c:v>
                </c:pt>
                <c:pt idx="3">
                  <c:v>4000000</c:v>
                </c:pt>
                <c:pt idx="4">
                  <c:v>4000000</c:v>
                </c:pt>
                <c:pt idx="5">
                  <c:v>4537932</c:v>
                </c:pt>
                <c:pt idx="6">
                  <c:v>4537932</c:v>
                </c:pt>
                <c:pt idx="7">
                  <c:v>6026164.2000000002</c:v>
                </c:pt>
                <c:pt idx="8">
                  <c:v>6526164.2000000002</c:v>
                </c:pt>
                <c:pt idx="9">
                  <c:v>7026164.2000000002</c:v>
                </c:pt>
                <c:pt idx="10">
                  <c:v>9076164.1999999844</c:v>
                </c:pt>
                <c:pt idx="11">
                  <c:v>10216164.199999984</c:v>
                </c:pt>
              </c:numCache>
            </c:numRef>
          </c:val>
        </c:ser>
        <c:axId val="68598016"/>
        <c:axId val="68612096"/>
      </c:barChart>
      <c:catAx>
        <c:axId val="68598016"/>
        <c:scaling>
          <c:orientation val="minMax"/>
        </c:scaling>
        <c:axPos val="b"/>
        <c:numFmt formatCode="General" sourceLinked="1"/>
        <c:tickLblPos val="nextTo"/>
        <c:txPr>
          <a:bodyPr rot="-5400000" vert="horz"/>
          <a:lstStyle/>
          <a:p>
            <a:pPr>
              <a:defRPr lang="es-MX"/>
            </a:pPr>
            <a:endParaRPr lang="es-MX"/>
          </a:p>
        </c:txPr>
        <c:crossAx val="68612096"/>
        <c:crosses val="autoZero"/>
        <c:auto val="1"/>
        <c:lblAlgn val="ctr"/>
        <c:lblOffset val="100"/>
      </c:catAx>
      <c:valAx>
        <c:axId val="68612096"/>
        <c:scaling>
          <c:orientation val="minMax"/>
        </c:scaling>
        <c:axPos val="l"/>
        <c:majorGridlines/>
        <c:numFmt formatCode="&quot;$&quot;#,##0.00" sourceLinked="1"/>
        <c:tickLblPos val="nextTo"/>
        <c:txPr>
          <a:bodyPr/>
          <a:lstStyle/>
          <a:p>
            <a:pPr>
              <a:defRPr lang="es-MX"/>
            </a:pPr>
            <a:endParaRPr lang="es-MX"/>
          </a:p>
        </c:txPr>
        <c:crossAx val="68598016"/>
        <c:crosses val="autoZero"/>
        <c:crossBetween val="between"/>
      </c:valAx>
    </c:plotArea>
    <c:legend>
      <c:legendPos val="r"/>
      <c:layout/>
      <c:txPr>
        <a:bodyPr/>
        <a:lstStyle/>
        <a:p>
          <a:pPr>
            <a:defRPr lang="es-MX"/>
          </a:pPr>
          <a:endParaRPr lang="es-MX"/>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title>
      <c:layout/>
      <c:txPr>
        <a:bodyPr/>
        <a:lstStyle/>
        <a:p>
          <a:pPr>
            <a:defRPr lang="es-MX"/>
          </a:pPr>
          <a:endParaRPr lang="es-MX"/>
        </a:p>
      </c:txPr>
    </c:title>
    <c:plotArea>
      <c:layout/>
      <c:barChart>
        <c:barDir val="col"/>
        <c:grouping val="clustered"/>
        <c:ser>
          <c:idx val="0"/>
          <c:order val="0"/>
          <c:tx>
            <c:strRef>
              <c:f>Hoja1!$B$32</c:f>
              <c:strCache>
                <c:ptCount val="1"/>
                <c:pt idx="0">
                  <c:v>SINIESTRALIDAD</c:v>
                </c:pt>
              </c:strCache>
            </c:strRef>
          </c:tx>
          <c:cat>
            <c:numRef>
              <c:f>Hoja1!$C$31:$J$31</c:f>
              <c:numCache>
                <c:formatCode>General</c:formatCode>
                <c:ptCount val="8"/>
                <c:pt idx="0">
                  <c:v>2005</c:v>
                </c:pt>
                <c:pt idx="1">
                  <c:v>2006</c:v>
                </c:pt>
                <c:pt idx="2">
                  <c:v>2007</c:v>
                </c:pt>
                <c:pt idx="3">
                  <c:v>2008</c:v>
                </c:pt>
                <c:pt idx="4">
                  <c:v>2009</c:v>
                </c:pt>
                <c:pt idx="5">
                  <c:v>2010</c:v>
                </c:pt>
                <c:pt idx="6">
                  <c:v>2011</c:v>
                </c:pt>
                <c:pt idx="7">
                  <c:v>2012</c:v>
                </c:pt>
              </c:numCache>
            </c:numRef>
          </c:cat>
          <c:val>
            <c:numRef>
              <c:f>Hoja1!$C$32:$J$32</c:f>
              <c:numCache>
                <c:formatCode>"$"#,##0.00</c:formatCode>
                <c:ptCount val="8"/>
                <c:pt idx="0">
                  <c:v>9667583</c:v>
                </c:pt>
                <c:pt idx="1">
                  <c:v>13295946</c:v>
                </c:pt>
                <c:pt idx="2">
                  <c:v>21204760</c:v>
                </c:pt>
                <c:pt idx="3">
                  <c:v>16652018</c:v>
                </c:pt>
                <c:pt idx="4">
                  <c:v>26643179</c:v>
                </c:pt>
                <c:pt idx="5">
                  <c:v>29008508</c:v>
                </c:pt>
                <c:pt idx="6">
                  <c:v>35746056.700000003</c:v>
                </c:pt>
                <c:pt idx="7">
                  <c:v>39550974.880000003</c:v>
                </c:pt>
              </c:numCache>
            </c:numRef>
          </c:val>
        </c:ser>
        <c:axId val="68951424"/>
        <c:axId val="68961408"/>
      </c:barChart>
      <c:catAx>
        <c:axId val="68951424"/>
        <c:scaling>
          <c:orientation val="minMax"/>
        </c:scaling>
        <c:axPos val="b"/>
        <c:numFmt formatCode="General" sourceLinked="1"/>
        <c:tickLblPos val="nextTo"/>
        <c:txPr>
          <a:bodyPr/>
          <a:lstStyle/>
          <a:p>
            <a:pPr>
              <a:defRPr lang="es-MX"/>
            </a:pPr>
            <a:endParaRPr lang="es-MX"/>
          </a:p>
        </c:txPr>
        <c:crossAx val="68961408"/>
        <c:crosses val="autoZero"/>
        <c:auto val="1"/>
        <c:lblAlgn val="ctr"/>
        <c:lblOffset val="100"/>
      </c:catAx>
      <c:valAx>
        <c:axId val="68961408"/>
        <c:scaling>
          <c:orientation val="minMax"/>
        </c:scaling>
        <c:axPos val="l"/>
        <c:majorGridlines/>
        <c:numFmt formatCode="&quot;$&quot;#,##0.00" sourceLinked="1"/>
        <c:tickLblPos val="nextTo"/>
        <c:txPr>
          <a:bodyPr/>
          <a:lstStyle/>
          <a:p>
            <a:pPr>
              <a:defRPr lang="es-MX"/>
            </a:pPr>
            <a:endParaRPr lang="es-MX"/>
          </a:p>
        </c:txPr>
        <c:crossAx val="68951424"/>
        <c:crosses val="autoZero"/>
        <c:crossBetween val="between"/>
      </c:valAx>
    </c:plotArea>
    <c:legend>
      <c:legendPos val="r"/>
      <c:layout/>
      <c:txPr>
        <a:bodyPr/>
        <a:lstStyle/>
        <a:p>
          <a:pPr>
            <a:defRPr lang="es-MX"/>
          </a:pPr>
          <a:endParaRPr lang="es-MX"/>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lang="es-MX"/>
            </a:pPr>
            <a:r>
              <a:rPr lang="es-ES"/>
              <a:t>COSTO DE LAS POLIZAS DEL SGMM</a:t>
            </a:r>
          </a:p>
        </c:rich>
      </c:tx>
      <c:layout/>
    </c:title>
    <c:plotArea>
      <c:layout/>
      <c:barChart>
        <c:barDir val="col"/>
        <c:grouping val="clustered"/>
        <c:ser>
          <c:idx val="0"/>
          <c:order val="0"/>
          <c:tx>
            <c:strRef>
              <c:f>Hoja1!$B$38</c:f>
              <c:strCache>
                <c:ptCount val="1"/>
                <c:pt idx="0">
                  <c:v>COSTO POLIZAS</c:v>
                </c:pt>
              </c:strCache>
            </c:strRef>
          </c:tx>
          <c:cat>
            <c:numRef>
              <c:f>Hoja1!$C$37:$K$37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Hoja1!$C$38:$K$38</c:f>
              <c:numCache>
                <c:formatCode>"$"#,##0.00</c:formatCode>
                <c:ptCount val="9"/>
                <c:pt idx="0">
                  <c:v>13033398</c:v>
                </c:pt>
                <c:pt idx="1">
                  <c:v>16147202</c:v>
                </c:pt>
                <c:pt idx="2">
                  <c:v>18226908</c:v>
                </c:pt>
                <c:pt idx="3">
                  <c:v>22240155</c:v>
                </c:pt>
                <c:pt idx="4">
                  <c:v>24721598</c:v>
                </c:pt>
                <c:pt idx="5">
                  <c:v>30763084</c:v>
                </c:pt>
                <c:pt idx="6">
                  <c:v>40751114</c:v>
                </c:pt>
                <c:pt idx="7">
                  <c:v>45558090.300000004</c:v>
                </c:pt>
                <c:pt idx="8">
                  <c:v>56898047.70000001</c:v>
                </c:pt>
              </c:numCache>
            </c:numRef>
          </c:val>
        </c:ser>
        <c:axId val="68993792"/>
        <c:axId val="68995328"/>
      </c:barChart>
      <c:catAx>
        <c:axId val="68993792"/>
        <c:scaling>
          <c:orientation val="minMax"/>
        </c:scaling>
        <c:axPos val="b"/>
        <c:numFmt formatCode="General" sourceLinked="1"/>
        <c:tickLblPos val="nextTo"/>
        <c:txPr>
          <a:bodyPr/>
          <a:lstStyle/>
          <a:p>
            <a:pPr>
              <a:defRPr lang="es-MX"/>
            </a:pPr>
            <a:endParaRPr lang="es-MX"/>
          </a:p>
        </c:txPr>
        <c:crossAx val="68995328"/>
        <c:crosses val="autoZero"/>
        <c:auto val="1"/>
        <c:lblAlgn val="ctr"/>
        <c:lblOffset val="100"/>
      </c:catAx>
      <c:valAx>
        <c:axId val="68995328"/>
        <c:scaling>
          <c:orientation val="minMax"/>
        </c:scaling>
        <c:axPos val="l"/>
        <c:majorGridlines/>
        <c:numFmt formatCode="&quot;$&quot;#,##0.00" sourceLinked="1"/>
        <c:tickLblPos val="nextTo"/>
        <c:txPr>
          <a:bodyPr/>
          <a:lstStyle/>
          <a:p>
            <a:pPr>
              <a:defRPr lang="es-MX"/>
            </a:pPr>
            <a:endParaRPr lang="es-MX"/>
          </a:p>
        </c:txPr>
        <c:crossAx val="68993792"/>
        <c:crosses val="autoZero"/>
        <c:crossBetween val="between"/>
      </c:valAx>
    </c:plotArea>
    <c:legend>
      <c:legendPos val="r"/>
      <c:layout/>
      <c:txPr>
        <a:bodyPr/>
        <a:lstStyle/>
        <a:p>
          <a:pPr>
            <a:defRPr lang="es-MX"/>
          </a:pPr>
          <a:endParaRPr lang="es-MX"/>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lang="es-MX"/>
            </a:pPr>
            <a:r>
              <a:t>DESCUENTO QUINCENAL PARA EL PAGO DE LA PÓLIZA DEL SGMM</a:t>
            </a:r>
          </a:p>
        </c:rich>
      </c:tx>
      <c:layout/>
    </c:title>
    <c:plotArea>
      <c:layout/>
      <c:barChart>
        <c:barDir val="col"/>
        <c:grouping val="clustered"/>
        <c:ser>
          <c:idx val="0"/>
          <c:order val="0"/>
          <c:tx>
            <c:strRef>
              <c:f>Hoja1!$C$44</c:f>
              <c:strCache>
                <c:ptCount val="1"/>
                <c:pt idx="0">
                  <c:v>DESCUENTO QUINCENAL</c:v>
                </c:pt>
              </c:strCache>
            </c:strRef>
          </c:tx>
          <c:cat>
            <c:numRef>
              <c:f>Hoja1!$D$43:$K$43</c:f>
              <c:numCache>
                <c:formatCode>General</c:formatCode>
                <c:ptCount val="8"/>
                <c:pt idx="0">
                  <c:v>2006</c:v>
                </c:pt>
                <c:pt idx="1">
                  <c:v>2007</c:v>
                </c:pt>
                <c:pt idx="2">
                  <c:v>2008</c:v>
                </c:pt>
                <c:pt idx="3">
                  <c:v>2009</c:v>
                </c:pt>
                <c:pt idx="4">
                  <c:v>2010</c:v>
                </c:pt>
                <c:pt idx="5">
                  <c:v>2011</c:v>
                </c:pt>
                <c:pt idx="6">
                  <c:v>2012</c:v>
                </c:pt>
                <c:pt idx="7">
                  <c:v>2013</c:v>
                </c:pt>
              </c:numCache>
            </c:numRef>
          </c:cat>
          <c:val>
            <c:numRef>
              <c:f>Hoja1!$D$44:$K$44</c:f>
              <c:numCache>
                <c:formatCode>"$"#,##0.00</c:formatCode>
                <c:ptCount val="8"/>
                <c:pt idx="0">
                  <c:v>75</c:v>
                </c:pt>
                <c:pt idx="1">
                  <c:v>75</c:v>
                </c:pt>
                <c:pt idx="2">
                  <c:v>100</c:v>
                </c:pt>
                <c:pt idx="3">
                  <c:v>160</c:v>
                </c:pt>
                <c:pt idx="4">
                  <c:v>196</c:v>
                </c:pt>
                <c:pt idx="5">
                  <c:v>250</c:v>
                </c:pt>
                <c:pt idx="6">
                  <c:v>288</c:v>
                </c:pt>
                <c:pt idx="7">
                  <c:v>418</c:v>
                </c:pt>
              </c:numCache>
            </c:numRef>
          </c:val>
        </c:ser>
        <c:axId val="69216128"/>
        <c:axId val="69217664"/>
      </c:barChart>
      <c:catAx>
        <c:axId val="69216128"/>
        <c:scaling>
          <c:orientation val="minMax"/>
        </c:scaling>
        <c:axPos val="b"/>
        <c:numFmt formatCode="General" sourceLinked="1"/>
        <c:tickLblPos val="nextTo"/>
        <c:txPr>
          <a:bodyPr/>
          <a:lstStyle/>
          <a:p>
            <a:pPr>
              <a:defRPr lang="es-MX"/>
            </a:pPr>
            <a:endParaRPr lang="es-MX"/>
          </a:p>
        </c:txPr>
        <c:crossAx val="69217664"/>
        <c:crosses val="autoZero"/>
        <c:auto val="1"/>
        <c:lblAlgn val="ctr"/>
        <c:lblOffset val="100"/>
      </c:catAx>
      <c:valAx>
        <c:axId val="69217664"/>
        <c:scaling>
          <c:orientation val="minMax"/>
        </c:scaling>
        <c:axPos val="l"/>
        <c:majorGridlines/>
        <c:numFmt formatCode="&quot;$&quot;#,##0.00" sourceLinked="1"/>
        <c:tickLblPos val="nextTo"/>
        <c:txPr>
          <a:bodyPr/>
          <a:lstStyle/>
          <a:p>
            <a:pPr>
              <a:defRPr lang="es-MX"/>
            </a:pPr>
            <a:endParaRPr lang="es-MX"/>
          </a:p>
        </c:txPr>
        <c:crossAx val="69216128"/>
        <c:crosses val="autoZero"/>
        <c:crossBetween val="between"/>
      </c:valAx>
    </c:plotArea>
    <c:legend>
      <c:legendPos val="r"/>
      <c:layout/>
      <c:txPr>
        <a:bodyPr/>
        <a:lstStyle/>
        <a:p>
          <a:pPr>
            <a:defRPr lang="es-MX"/>
          </a:pPr>
          <a:endParaRPr lang="es-MX"/>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92EC3-05B7-4001-96DB-974F0E59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SECTRABAJOYCONFLITOS</dc:creator>
  <cp:lastModifiedBy>SECTRABAJOYCONFLITOS</cp:lastModifiedBy>
  <cp:revision>8</cp:revision>
  <cp:lastPrinted>2012-11-07T16:47:00Z</cp:lastPrinted>
  <dcterms:created xsi:type="dcterms:W3CDTF">2012-11-07T06:29:00Z</dcterms:created>
  <dcterms:modified xsi:type="dcterms:W3CDTF">2012-11-07T17:05:00Z</dcterms:modified>
</cp:coreProperties>
</file>